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12bis</w:t>
      </w:r>
      <w:r>
        <w:rPr>
          <w:rFonts w:hint="eastAsia" w:ascii="Arial" w:hAnsi="Arial" w:cs="Arial"/>
          <w:b/>
          <w:sz w:val="24"/>
          <w:szCs w:val="24"/>
        </w:rPr>
        <w:t xml:space="preserve">                              R4-2416242</w:t>
      </w:r>
      <w:bookmarkStart w:id="6" w:name="_GoBack"/>
      <w:bookmarkEnd w:id="6"/>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hint="eastAsia" w:ascii="Arial" w:hAnsi="Arial" w:cs="Arial"/>
          <w:b/>
          <w:sz w:val="24"/>
          <w:szCs w:val="24"/>
          <w:lang w:val="en-US" w:eastAsia="zh-CN"/>
        </w:rPr>
        <w:t>Hefei</w:t>
      </w:r>
      <w:r>
        <w:rPr>
          <w:rFonts w:ascii="Arial" w:hAnsi="Arial" w:eastAsia="宋体" w:cs="Arial"/>
          <w:b/>
          <w:sz w:val="24"/>
          <w:szCs w:val="24"/>
          <w:lang w:eastAsia="zh-CN"/>
        </w:rPr>
        <w:t xml:space="preserve">, </w:t>
      </w:r>
      <w:r>
        <w:rPr>
          <w:rFonts w:hint="eastAsia" w:ascii="Arial" w:hAnsi="Arial"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cs="Arial"/>
          <w:b/>
          <w:sz w:val="24"/>
          <w:szCs w:val="24"/>
          <w:lang w:val="en-US" w:eastAsia="zh-CN"/>
        </w:rPr>
        <w:t>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Oct, 2024</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6.2.4.1</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co-existence evaluation for </w:t>
      </w:r>
      <w:r>
        <w:rPr>
          <w:rFonts w:hint="eastAsia" w:ascii="Arial" w:hAnsi="Arial" w:eastAsia="MS Mincho" w:cs="Arial"/>
          <w:b/>
          <w:sz w:val="24"/>
          <w:szCs w:val="24"/>
          <w:lang w:val="en-US" w:eastAsia="en-US"/>
        </w:rPr>
        <w:t>14800 to 15350 MHz</w:t>
      </w:r>
      <w:r>
        <w:rPr>
          <w:rFonts w:hint="eastAsia" w:ascii="Arial" w:hAnsi="Arial" w:eastAsia="MS Mincho" w:cs="Arial"/>
          <w:b/>
          <w:sz w:val="24"/>
          <w:szCs w:val="24"/>
          <w:lang w:val="en-US" w:eastAsia="zh-CN"/>
        </w:rPr>
        <w:t xml:space="preserve"> </w:t>
      </w:r>
      <w:r>
        <w:rPr>
          <w:rFonts w:hint="eastAsia" w:ascii="Arial" w:hAnsi="Arial" w:eastAsia="MS Mincho"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eastAsia" w:cs="Times New Roman"/>
          <w:sz w:val="20"/>
          <w:szCs w:val="20"/>
          <w:lang w:val="en-US" w:eastAsia="zh-CN"/>
        </w:rPr>
      </w:pPr>
      <w:r>
        <w:rPr>
          <w:rFonts w:hint="eastAsia"/>
          <w:lang w:val="en-US" w:eastAsia="zh-CN"/>
        </w:rPr>
        <w:t>In the latest ITU-R meeting, WP5D has sent one L</w:t>
      </w:r>
      <w:r>
        <w:rPr>
          <w:rFonts w:hint="eastAsia" w:ascii="Times New Roman" w:hAnsi="Times New Roman" w:cs="Times New Roman"/>
          <w:lang w:val="en-US" w:eastAsia="zh-CN"/>
        </w:rPr>
        <w:t xml:space="preserve">S to RAN/RAN4 to request the </w:t>
      </w:r>
      <w:r>
        <w:rPr>
          <w:rFonts w:hint="default" w:ascii="Times New Roman" w:hAnsi="Times New Roman" w:cs="Times New Roman"/>
          <w:lang w:val="en-US" w:eastAsia="zh-CN"/>
        </w:rPr>
        <w:t>Parameters of terrestrial component of IMT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in the </w:t>
      </w:r>
      <w:r>
        <w:rPr>
          <w:rFonts w:hint="eastAsia" w:ascii="Times New Roman" w:hAnsi="Times New Roman" w:cs="Times New Roman"/>
          <w:lang w:val="en-US" w:eastAsia="zh-CN"/>
        </w:rPr>
        <w:t xml:space="preserve">following frequency ranges for </w:t>
      </w:r>
      <w:r>
        <w:rPr>
          <w:rFonts w:hint="default" w:ascii="Times New Roman" w:hAnsi="Times New Roman" w:cs="Times New Roman"/>
          <w:sz w:val="20"/>
          <w:szCs w:val="20"/>
        </w:rPr>
        <w:t>sharing and compatibility studies</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During the RAN#103 meeting, the corresponding SID for WP5D reply LS [3] is approved to facilitate the technical discussions in RAN4. In the previous RAN4 meeting, there were no much discussions for coexistence evaluations for 14800MHz to 15350MHz due to the TU limitation. </w:t>
      </w:r>
      <w:r>
        <w:rPr>
          <w:rFonts w:hint="eastAsia" w:ascii="Times New Roman" w:hAnsi="Times New Roman" w:cs="Times New Roman"/>
          <w:sz w:val="20"/>
          <w:szCs w:val="20"/>
          <w:lang w:val="en-US" w:eastAsia="zh-CN"/>
        </w:rPr>
        <w:t>In this contribution,</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 xml:space="preserve">we would like to share </w:t>
      </w:r>
      <w:r>
        <w:rPr>
          <w:rFonts w:hint="eastAsia" w:cs="Times New Roman"/>
          <w:sz w:val="20"/>
          <w:szCs w:val="20"/>
          <w:lang w:val="en-US" w:eastAsia="zh-CN"/>
        </w:rPr>
        <w:t>some views on coexistence evaluations for 14800-15350MHz.</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120" w:afterLines="50" w:afterAutospacing="0"/>
              <w:ind w:left="0" w:right="0"/>
              <w:rPr>
                <w:rFonts w:hint="default"/>
                <w:b/>
                <w:lang w:eastAsia="zh-CN"/>
              </w:rPr>
            </w:pPr>
            <w:r>
              <w:rPr>
                <w:rFonts w:hint="default"/>
                <w:b/>
                <w:lang w:eastAsia="zh-CN"/>
              </w:rPr>
              <w:t>Way forward</w:t>
            </w:r>
          </w:p>
          <w:p>
            <w:pPr>
              <w:pStyle w:val="52"/>
              <w:keepNext w:val="0"/>
              <w:keepLines w:val="0"/>
              <w:suppressLineNumbers w:val="0"/>
              <w:spacing w:before="0" w:beforeAutospacing="0" w:afterAutospacing="0"/>
              <w:ind w:right="0"/>
              <w:rPr>
                <w:rFonts w:hint="default"/>
                <w:lang w:eastAsia="zh-CN"/>
              </w:rPr>
            </w:pPr>
            <w:r>
              <w:rPr>
                <w:rFonts w:hint="default"/>
                <w:lang w:eastAsia="zh-CN"/>
              </w:rPr>
              <w:t>-</w:t>
            </w:r>
            <w:r>
              <w:rPr>
                <w:rFonts w:hint="default"/>
                <w:lang w:eastAsia="zh-CN"/>
              </w:rPr>
              <w:tab/>
            </w:r>
            <w:r>
              <w:rPr>
                <w:rFonts w:hint="default"/>
                <w:lang w:eastAsia="zh-CN"/>
              </w:rPr>
              <w:t>Further discussing the following issues</w:t>
            </w:r>
          </w:p>
          <w:p>
            <w:pPr>
              <w:keepNext w:val="0"/>
              <w:keepLines w:val="0"/>
              <w:suppressLineNumbers w:val="0"/>
              <w:spacing w:before="0" w:beforeAutospacing="0" w:afterAutospacing="0"/>
              <w:ind w:left="284" w:right="0"/>
              <w:rPr>
                <w:rFonts w:hint="default"/>
                <w:u w:val="single"/>
              </w:rPr>
            </w:pPr>
          </w:p>
          <w:p>
            <w:pPr>
              <w:keepNext w:val="0"/>
              <w:keepLines w:val="0"/>
              <w:suppressLineNumbers w:val="0"/>
              <w:spacing w:before="0" w:beforeAutospacing="0" w:afterAutospacing="0"/>
              <w:ind w:left="284" w:right="0"/>
              <w:rPr>
                <w:rFonts w:hint="default"/>
                <w:u w:val="single"/>
              </w:rPr>
            </w:pPr>
            <w:r>
              <w:rPr>
                <w:rFonts w:hint="default"/>
                <w:u w:val="single"/>
              </w:rPr>
              <w:t>Issue 3-1 Common understanding on UE antenna array options</w:t>
            </w:r>
          </w:p>
          <w:p>
            <w:pPr>
              <w:pStyle w:val="36"/>
              <w:keepNext w:val="0"/>
              <w:keepLines w:val="0"/>
              <w:numPr>
                <w:ilvl w:val="0"/>
                <w:numId w:val="2"/>
              </w:numPr>
              <w:suppressLineNumbers w:val="0"/>
              <w:spacing w:before="0" w:beforeAutospacing="0" w:afterAutospacing="0"/>
              <w:ind w:left="1004" w:right="0" w:firstLineChars="0"/>
              <w:rPr>
                <w:rFonts w:hint="default"/>
                <w:u w:val="single"/>
              </w:rPr>
            </w:pPr>
            <w:r>
              <w:rPr>
                <w:rFonts w:hint="default"/>
              </w:rPr>
              <w:t>Option 1: “UE beamforming” (FR2 like)</w:t>
            </w:r>
          </w:p>
          <w:p>
            <w:pPr>
              <w:pStyle w:val="36"/>
              <w:keepNext w:val="0"/>
              <w:keepLines w:val="0"/>
              <w:numPr>
                <w:ilvl w:val="1"/>
                <w:numId w:val="2"/>
              </w:numPr>
              <w:suppressLineNumbers w:val="0"/>
              <w:spacing w:before="0" w:beforeAutospacing="0" w:afterAutospacing="0"/>
              <w:ind w:left="1724" w:right="0" w:firstLineChars="0"/>
              <w:rPr>
                <w:rFonts w:hint="default"/>
                <w:u w:val="single"/>
              </w:rPr>
            </w:pPr>
            <w:r>
              <w:rPr>
                <w:rFonts w:hint="default"/>
              </w:rPr>
              <w:t>Assumed to be FR2 like UE, with two panels similar to Rel-14 NR study 38.803</w:t>
            </w:r>
          </w:p>
          <w:p>
            <w:pPr>
              <w:pStyle w:val="36"/>
              <w:keepNext w:val="0"/>
              <w:keepLines w:val="0"/>
              <w:numPr>
                <w:ilvl w:val="1"/>
                <w:numId w:val="2"/>
              </w:numPr>
              <w:suppressLineNumbers w:val="0"/>
              <w:spacing w:before="0" w:beforeAutospacing="0" w:afterAutospacing="0"/>
              <w:ind w:left="1724" w:right="0" w:firstLineChars="0"/>
              <w:rPr>
                <w:rFonts w:hint="default"/>
                <w:u w:val="single"/>
              </w:rPr>
            </w:pPr>
            <w:r>
              <w:rPr>
                <w:rFonts w:hint="default"/>
              </w:rPr>
              <w:t>Analogue like beamforming</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1a: 2x2 antennas per panel</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Option 2: FR1 like</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Assumed to be FR1 like UE with more than one TX/RX antenna</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Isotropic antennas</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2a: 2 TX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2b: 4 TX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2c: 4 RX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2d: 6 RX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2e: 8 RX</w:t>
            </w:r>
          </w:p>
          <w:p>
            <w:pPr>
              <w:keepNext w:val="0"/>
              <w:keepLines w:val="0"/>
              <w:suppressLineNumbers w:val="0"/>
              <w:spacing w:before="0" w:beforeAutospacing="0" w:afterAutospacing="0"/>
              <w:ind w:left="284" w:right="0"/>
              <w:rPr>
                <w:rFonts w:hint="default"/>
              </w:rPr>
            </w:pPr>
          </w:p>
          <w:p>
            <w:pPr>
              <w:keepNext w:val="0"/>
              <w:keepLines w:val="0"/>
              <w:suppressLineNumbers w:val="0"/>
              <w:spacing w:before="0" w:beforeAutospacing="0" w:afterAutospacing="0"/>
              <w:ind w:left="284" w:right="0"/>
              <w:rPr>
                <w:rFonts w:hint="default"/>
                <w:u w:val="single"/>
              </w:rPr>
            </w:pPr>
            <w:r>
              <w:rPr>
                <w:rFonts w:hint="default"/>
                <w:u w:val="single"/>
              </w:rPr>
              <w:t>Issue 3-2 Initial deployment scenarios</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Option 1: Follow 38.921</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Indoor 20m ISD</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[0.2 - 0.45]km Urban</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[&lt;=0.9]km sub-urban</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Option 2: 38.803 FR2 assumptions</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Indoor</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Dense Urban</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Urban macro</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Other options such as smaller ISD not precluded depending on antenna array assumptions</w:t>
            </w:r>
          </w:p>
          <w:p>
            <w:pPr>
              <w:keepNext w:val="0"/>
              <w:keepLines w:val="0"/>
              <w:suppressLineNumbers w:val="0"/>
              <w:spacing w:before="0" w:beforeAutospacing="0" w:afterAutospacing="0"/>
              <w:ind w:left="284" w:right="0"/>
              <w:rPr>
                <w:rFonts w:hint="default"/>
                <w:u w:val="single"/>
              </w:rPr>
            </w:pPr>
          </w:p>
          <w:p>
            <w:pPr>
              <w:keepNext w:val="0"/>
              <w:keepLines w:val="0"/>
              <w:suppressLineNumbers w:val="0"/>
              <w:spacing w:before="0" w:beforeAutospacing="0" w:afterAutospacing="0"/>
              <w:ind w:left="284" w:right="0"/>
              <w:rPr>
                <w:rFonts w:hint="default"/>
                <w:u w:val="single"/>
              </w:rPr>
            </w:pPr>
            <w:r>
              <w:rPr>
                <w:rFonts w:hint="default"/>
                <w:u w:val="single"/>
              </w:rPr>
              <w:t xml:space="preserve">Issue 3-3 Initial coordinated operation </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 xml:space="preserve">Option 1: </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Co-ordinated for indoor</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Both co-ordinated and un-co-ordinated for outdoor</w:t>
            </w:r>
          </w:p>
          <w:p>
            <w:pPr>
              <w:keepNext w:val="0"/>
              <w:keepLines w:val="0"/>
              <w:suppressLineNumbers w:val="0"/>
              <w:spacing w:before="0" w:beforeAutospacing="0" w:afterAutospacing="0"/>
              <w:ind w:left="0" w:right="0"/>
              <w:rPr>
                <w:rFonts w:hint="default"/>
              </w:rPr>
            </w:pPr>
          </w:p>
          <w:p>
            <w:pPr>
              <w:keepNext w:val="0"/>
              <w:keepLines w:val="0"/>
              <w:suppressLineNumbers w:val="0"/>
              <w:spacing w:before="0" w:beforeAutospacing="0" w:afterAutospacing="0"/>
              <w:ind w:left="284" w:right="0"/>
              <w:rPr>
                <w:rFonts w:hint="default"/>
                <w:u w:val="single"/>
              </w:rPr>
            </w:pPr>
            <w:r>
              <w:rPr>
                <w:rFonts w:hint="default"/>
                <w:u w:val="single"/>
              </w:rPr>
              <w:t xml:space="preserve">Issue 3-4 Initial views on BS array size </w:t>
            </w:r>
          </w:p>
          <w:p>
            <w:pPr>
              <w:pStyle w:val="36"/>
              <w:keepNext w:val="0"/>
              <w:keepLines w:val="0"/>
              <w:numPr>
                <w:ilvl w:val="0"/>
                <w:numId w:val="4"/>
              </w:numPr>
              <w:suppressLineNumbers w:val="0"/>
              <w:spacing w:before="0" w:beforeAutospacing="0" w:afterAutospacing="0"/>
              <w:ind w:left="1004" w:right="0" w:firstLineChars="0"/>
              <w:rPr>
                <w:rFonts w:hint="default"/>
              </w:rPr>
            </w:pPr>
            <w:r>
              <w:rPr>
                <w:rFonts w:hint="default"/>
              </w:rPr>
              <w:t>Option 1: 1024 elements</w:t>
            </w:r>
          </w:p>
          <w:p>
            <w:pPr>
              <w:pStyle w:val="36"/>
              <w:keepNext w:val="0"/>
              <w:keepLines w:val="0"/>
              <w:numPr>
                <w:ilvl w:val="0"/>
                <w:numId w:val="4"/>
              </w:numPr>
              <w:suppressLineNumbers w:val="0"/>
              <w:spacing w:before="0" w:beforeAutospacing="0" w:afterAutospacing="0"/>
              <w:ind w:left="1004" w:right="0" w:firstLineChars="0"/>
              <w:rPr>
                <w:rFonts w:hint="default"/>
              </w:rPr>
            </w:pPr>
            <w:r>
              <w:rPr>
                <w:rFonts w:hint="default"/>
              </w:rPr>
              <w:t>Option 2: 2048 elements</w:t>
            </w:r>
          </w:p>
          <w:p>
            <w:pPr>
              <w:pStyle w:val="36"/>
              <w:keepNext w:val="0"/>
              <w:keepLines w:val="0"/>
              <w:numPr>
                <w:ilvl w:val="0"/>
                <w:numId w:val="4"/>
              </w:numPr>
              <w:suppressLineNumbers w:val="0"/>
              <w:spacing w:before="0" w:beforeAutospacing="0" w:afterAutospacing="0"/>
              <w:ind w:left="1004" w:right="0" w:firstLineChars="0"/>
              <w:rPr>
                <w:rFonts w:hint="default"/>
              </w:rPr>
            </w:pPr>
            <w:r>
              <w:rPr>
                <w:rFonts w:hint="default"/>
              </w:rPr>
              <w:t>Option 3: Other sizes</w:t>
            </w:r>
          </w:p>
          <w:p>
            <w:pPr>
              <w:keepNext w:val="0"/>
              <w:keepLines w:val="0"/>
              <w:suppressLineNumbers w:val="0"/>
              <w:spacing w:before="0" w:beforeAutospacing="0" w:afterAutospacing="0"/>
              <w:ind w:left="284" w:right="0"/>
              <w:rPr>
                <w:rFonts w:hint="default"/>
                <w:u w:val="single"/>
              </w:rPr>
            </w:pPr>
          </w:p>
          <w:p>
            <w:pPr>
              <w:keepNext w:val="0"/>
              <w:keepLines w:val="0"/>
              <w:suppressLineNumbers w:val="0"/>
              <w:spacing w:before="0" w:beforeAutospacing="0" w:afterAutospacing="0"/>
              <w:ind w:left="284" w:right="0"/>
              <w:rPr>
                <w:rFonts w:hint="default"/>
                <w:u w:val="single"/>
              </w:rPr>
            </w:pPr>
            <w:r>
              <w:rPr>
                <w:rFonts w:hint="default"/>
                <w:u w:val="single"/>
              </w:rPr>
              <w:t>Issue 3-5 Initial views on BS sub-array architecture</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1: No sub-arrays</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2: Sub array size 2</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3: Sub array size 3</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4: Sub-array size 4</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5: Sub-array size 6</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6: Sub-array size 8</w:t>
            </w:r>
          </w:p>
          <w:p>
            <w:pPr>
              <w:pStyle w:val="36"/>
              <w:keepNext w:val="0"/>
              <w:keepLines w:val="0"/>
              <w:numPr>
                <w:ilvl w:val="1"/>
                <w:numId w:val="4"/>
              </w:numPr>
              <w:suppressLineNumbers w:val="0"/>
              <w:spacing w:before="0" w:beforeAutospacing="0" w:afterAutospacing="0"/>
              <w:ind w:left="1724" w:right="0" w:firstLineChars="0"/>
              <w:rPr>
                <w:rFonts w:hint="default" w:cs="Times New Roman"/>
                <w:sz w:val="20"/>
                <w:szCs w:val="20"/>
                <w:vertAlign w:val="baseline"/>
                <w:lang w:val="en-US" w:eastAsia="zh-CN"/>
              </w:rPr>
            </w:pPr>
            <w:r>
              <w:rPr>
                <w:rFonts w:hint="default"/>
              </w:rPr>
              <w:t xml:space="preserve">Option 7: Sub-array size 12 </w:t>
            </w:r>
          </w:p>
          <w:p>
            <w:pPr>
              <w:pStyle w:val="36"/>
              <w:keepNext w:val="0"/>
              <w:keepLines w:val="0"/>
              <w:numPr>
                <w:ilvl w:val="0"/>
                <w:numId w:val="0"/>
              </w:numPr>
              <w:suppressLineNumbers w:val="0"/>
              <w:spacing w:before="0" w:beforeAutospacing="0" w:afterAutospacing="0"/>
              <w:ind w:left="944" w:leftChars="0" w:right="0" w:rightChars="0"/>
              <w:rPr>
                <w:rFonts w:hint="eastAsia" w:cs="Times New Roman"/>
                <w:sz w:val="20"/>
                <w:szCs w:val="20"/>
                <w:vertAlign w:val="baseline"/>
                <w:lang w:val="en-US" w:eastAsia="zh-CN"/>
              </w:rPr>
            </w:pPr>
            <w:r>
              <w:rPr>
                <w:rFonts w:hint="eastAsia" w:cs="Times New Roman"/>
                <w:sz w:val="20"/>
                <w:szCs w:val="20"/>
                <w:vertAlign w:val="baseline"/>
                <w:lang w:val="en-US" w:eastAsia="zh-CN"/>
              </w:rPr>
              <w:t xml:space="preserve">Agreement: </w:t>
            </w:r>
          </w:p>
          <w:p>
            <w:pPr>
              <w:keepNext w:val="0"/>
              <w:keepLines w:val="0"/>
              <w:widowControl/>
              <w:suppressLineNumbers w:val="0"/>
              <w:spacing w:before="0" w:beforeAutospacing="0" w:after="160" w:afterAutospacing="0" w:line="256" w:lineRule="auto"/>
              <w:ind w:left="0" w:right="0"/>
              <w:jc w:val="left"/>
              <w:rPr>
                <w:rFonts w:hint="default" w:cs="Arial"/>
                <w:szCs w:val="20"/>
                <w:lang w:val="en-US"/>
              </w:rPr>
            </w:pPr>
            <w:r>
              <w:rPr>
                <w:rFonts w:hint="default" w:ascii="Arial" w:hAnsi="Arial" w:eastAsia="Calibri" w:cs="Arial"/>
                <w:b/>
                <w:bCs w:val="0"/>
                <w:kern w:val="0"/>
                <w:sz w:val="20"/>
                <w:szCs w:val="20"/>
                <w:u w:val="single"/>
                <w:lang w:val="en-US" w:eastAsia="ko" w:bidi="ar"/>
              </w:rPr>
              <w:t>Issue 3-1: Simulation scenarios</w:t>
            </w:r>
          </w:p>
          <w:p>
            <w:pPr>
              <w:keepNext w:val="0"/>
              <w:keepLines w:val="0"/>
              <w:widowControl/>
              <w:suppressLineNumbers w:val="0"/>
              <w:spacing w:before="0" w:beforeAutospacing="0" w:after="120" w:afterAutospacing="0" w:line="256" w:lineRule="auto"/>
              <w:ind w:left="0" w:right="0"/>
              <w:jc w:val="left"/>
              <w:rPr>
                <w:rFonts w:hint="default" w:cs="Arial"/>
                <w:b/>
                <w:bCs/>
                <w:szCs w:val="20"/>
                <w:lang w:val="en-US" w:eastAsia="zh-CN"/>
              </w:rPr>
            </w:pPr>
            <w:r>
              <w:rPr>
                <w:rFonts w:hint="default" w:ascii="Arial" w:hAnsi="Arial" w:eastAsia="Calibri" w:cs="Arial"/>
                <w:b/>
                <w:bCs/>
                <w:kern w:val="0"/>
                <w:sz w:val="20"/>
                <w:szCs w:val="20"/>
                <w:lang w:val="en-US" w:eastAsia="zh-CN" w:bidi="ar"/>
              </w:rPr>
              <w:t>Agreement:</w:t>
            </w:r>
          </w:p>
          <w:p>
            <w:pPr>
              <w:pStyle w:val="108"/>
              <w:widowControl/>
              <w:numPr>
                <w:ilvl w:val="0"/>
                <w:numId w:val="5"/>
              </w:numPr>
              <w:spacing w:after="120" w:afterAutospacing="0"/>
              <w:ind w:hanging="360"/>
              <w:rPr>
                <w:rFonts w:hint="default" w:ascii="Arial" w:hAnsi="Arial" w:cs="Arial"/>
                <w:color w:val="FF0000"/>
                <w:sz w:val="20"/>
                <w:szCs w:val="20"/>
                <w:lang w:eastAsia="zh-CN"/>
              </w:rPr>
            </w:pPr>
            <w:r>
              <w:rPr>
                <w:rFonts w:hint="default" w:ascii="Arial" w:hAnsi="Arial" w:cs="Arial"/>
                <w:color w:val="FF0000"/>
                <w:sz w:val="20"/>
                <w:szCs w:val="20"/>
                <w:lang w:eastAsia="zh-CN"/>
              </w:rPr>
              <w:t>1</w:t>
            </w:r>
            <w:r>
              <w:rPr>
                <w:rFonts w:hint="default" w:ascii="Arial" w:hAnsi="Arial" w:cs="Arial"/>
                <w:color w:val="FF0000"/>
                <w:sz w:val="20"/>
                <w:szCs w:val="20"/>
                <w:vertAlign w:val="superscript"/>
                <w:lang w:eastAsia="zh-CN"/>
              </w:rPr>
              <w:t>st</w:t>
            </w:r>
            <w:r>
              <w:rPr>
                <w:rFonts w:hint="default" w:ascii="Arial" w:hAnsi="Arial" w:cs="Arial"/>
                <w:color w:val="FF0000"/>
                <w:sz w:val="20"/>
                <w:szCs w:val="20"/>
                <w:lang w:eastAsia="zh-CN"/>
              </w:rPr>
              <w:t xml:space="preserve"> priority urban macro</w:t>
            </w:r>
          </w:p>
          <w:p>
            <w:pPr>
              <w:pStyle w:val="108"/>
              <w:widowControl/>
              <w:numPr>
                <w:ilvl w:val="0"/>
                <w:numId w:val="5"/>
              </w:numPr>
              <w:spacing w:after="120" w:afterAutospacing="0"/>
              <w:ind w:hanging="360"/>
              <w:rPr>
                <w:rFonts w:hint="default" w:ascii="Arial" w:hAnsi="Arial" w:cs="Arial"/>
                <w:color w:val="FF0000"/>
                <w:sz w:val="20"/>
                <w:szCs w:val="20"/>
                <w:lang w:eastAsia="zh-CN"/>
              </w:rPr>
            </w:pPr>
            <w:r>
              <w:rPr>
                <w:rFonts w:hint="default" w:ascii="Arial" w:hAnsi="Arial" w:cs="Arial"/>
                <w:color w:val="FF0000"/>
                <w:sz w:val="20"/>
                <w:szCs w:val="20"/>
                <w:lang w:eastAsia="zh-CN"/>
              </w:rPr>
              <w:t>2</w:t>
            </w:r>
            <w:r>
              <w:rPr>
                <w:rFonts w:hint="default" w:ascii="Arial" w:hAnsi="Arial" w:cs="Arial"/>
                <w:color w:val="FF0000"/>
                <w:sz w:val="20"/>
                <w:szCs w:val="20"/>
                <w:vertAlign w:val="superscript"/>
                <w:lang w:eastAsia="zh-CN"/>
              </w:rPr>
              <w:t>nd</w:t>
            </w:r>
            <w:r>
              <w:rPr>
                <w:rFonts w:hint="default" w:ascii="Arial" w:hAnsi="Arial" w:cs="Arial"/>
                <w:color w:val="FF0000"/>
                <w:sz w:val="20"/>
                <w:szCs w:val="20"/>
                <w:lang w:eastAsia="zh-CN"/>
              </w:rPr>
              <w:t xml:space="preserve"> priority indoor</w:t>
            </w:r>
          </w:p>
          <w:p>
            <w:pPr>
              <w:pStyle w:val="108"/>
              <w:widowControl/>
              <w:numPr>
                <w:ilvl w:val="0"/>
                <w:numId w:val="5"/>
              </w:numPr>
              <w:spacing w:after="120" w:afterAutospacing="0"/>
              <w:ind w:hanging="360"/>
              <w:rPr>
                <w:rFonts w:hint="default" w:ascii="Arial" w:hAnsi="Arial" w:cs="Arial"/>
                <w:sz w:val="20"/>
                <w:szCs w:val="20"/>
                <w:lang w:eastAsia="zh-CN"/>
              </w:rPr>
            </w:pPr>
            <w:r>
              <w:rPr>
                <w:rFonts w:hint="default" w:ascii="Arial" w:hAnsi="Arial" w:cs="Arial"/>
                <w:sz w:val="20"/>
                <w:szCs w:val="20"/>
                <w:lang w:eastAsia="zh-CN"/>
              </w:rPr>
              <w:t>3</w:t>
            </w:r>
            <w:r>
              <w:rPr>
                <w:rFonts w:hint="default" w:ascii="Arial" w:hAnsi="Arial" w:cs="Arial"/>
                <w:sz w:val="20"/>
                <w:szCs w:val="20"/>
                <w:vertAlign w:val="superscript"/>
                <w:lang w:eastAsia="zh-CN"/>
              </w:rPr>
              <w:t>rd</w:t>
            </w:r>
            <w:r>
              <w:rPr>
                <w:rFonts w:hint="default" w:ascii="Arial" w:hAnsi="Arial" w:cs="Arial"/>
                <w:sz w:val="20"/>
                <w:szCs w:val="20"/>
                <w:lang w:eastAsia="zh-CN"/>
              </w:rPr>
              <w:t xml:space="preserve"> priority dense urban</w:t>
            </w:r>
          </w:p>
          <w:p>
            <w:pPr>
              <w:keepNext w:val="0"/>
              <w:keepLines w:val="0"/>
              <w:widowControl/>
              <w:suppressLineNumbers w:val="0"/>
              <w:spacing w:before="0" w:beforeAutospacing="0" w:after="160" w:afterAutospacing="0" w:line="256" w:lineRule="auto"/>
              <w:ind w:left="0" w:right="0"/>
              <w:jc w:val="left"/>
              <w:rPr>
                <w:rFonts w:hint="default" w:cs="Arial"/>
                <w:b/>
                <w:bCs w:val="0"/>
                <w:u w:val="single"/>
                <w:lang w:val="en-US" w:eastAsia="ko"/>
              </w:rPr>
            </w:pPr>
            <w:r>
              <w:rPr>
                <w:rFonts w:hint="default" w:ascii="Arial" w:hAnsi="Arial" w:eastAsia="Calibri" w:cs="Arial"/>
                <w:b/>
                <w:bCs w:val="0"/>
                <w:kern w:val="0"/>
                <w:sz w:val="20"/>
                <w:szCs w:val="22"/>
                <w:u w:val="single"/>
                <w:lang w:val="en-US" w:eastAsia="ko" w:bidi="ar"/>
              </w:rPr>
              <w:t>Issue 3-3: ISD</w:t>
            </w:r>
          </w:p>
          <w:p>
            <w:pPr>
              <w:keepNext w:val="0"/>
              <w:keepLines w:val="0"/>
              <w:widowControl/>
              <w:suppressLineNumbers w:val="0"/>
              <w:spacing w:before="0" w:beforeAutospacing="0" w:after="120" w:afterAutospacing="0" w:line="256" w:lineRule="auto"/>
              <w:ind w:left="0" w:right="0"/>
              <w:jc w:val="left"/>
              <w:rPr>
                <w:rFonts w:hint="default" w:cs="Arial"/>
                <w:b/>
                <w:bCs/>
                <w:szCs w:val="24"/>
                <w:lang w:val="en-US" w:eastAsia="zh-CN"/>
              </w:rPr>
            </w:pPr>
            <w:r>
              <w:rPr>
                <w:rFonts w:hint="default" w:ascii="Arial" w:hAnsi="Arial" w:eastAsia="Calibri" w:cs="Arial"/>
                <w:b/>
                <w:bCs/>
                <w:kern w:val="0"/>
                <w:sz w:val="20"/>
                <w:szCs w:val="24"/>
                <w:lang w:val="en-US" w:eastAsia="zh-CN" w:bidi="ar"/>
              </w:rPr>
              <w:t xml:space="preserve">Agreement: </w:t>
            </w:r>
          </w:p>
          <w:p>
            <w:pPr>
              <w:pStyle w:val="108"/>
              <w:widowControl/>
              <w:numPr>
                <w:ilvl w:val="0"/>
                <w:numId w:val="6"/>
              </w:numPr>
              <w:overflowPunct w:val="0"/>
              <w:autoSpaceDE w:val="0"/>
              <w:autoSpaceDN w:val="0"/>
              <w:adjustRightInd w:val="0"/>
              <w:spacing w:after="120" w:afterAutospacing="0" w:line="240" w:lineRule="auto"/>
              <w:ind w:hanging="360"/>
              <w:textAlignment w:val="baseline"/>
              <w:rPr>
                <w:rFonts w:hint="default" w:ascii="Arial" w:hAnsi="Arial" w:cs="Arial"/>
                <w:szCs w:val="24"/>
                <w:vertAlign w:val="baseline"/>
                <w:lang w:eastAsia="zh-CN"/>
              </w:rPr>
            </w:pPr>
            <w:r>
              <w:rPr>
                <w:rFonts w:hint="default" w:ascii="Arial" w:hAnsi="Arial" w:cs="Arial"/>
                <w:szCs w:val="24"/>
                <w:vertAlign w:val="baseline"/>
                <w:lang w:eastAsia="zh-CN"/>
              </w:rPr>
              <w:t>For indoor, agree 20m</w:t>
            </w:r>
          </w:p>
          <w:p>
            <w:pPr>
              <w:pStyle w:val="108"/>
              <w:widowControl/>
              <w:numPr>
                <w:ilvl w:val="0"/>
                <w:numId w:val="6"/>
              </w:numPr>
              <w:overflowPunct w:val="0"/>
              <w:autoSpaceDE w:val="0"/>
              <w:autoSpaceDN w:val="0"/>
              <w:adjustRightInd w:val="0"/>
              <w:spacing w:after="120" w:afterAutospacing="0" w:line="240" w:lineRule="auto"/>
              <w:ind w:hanging="360"/>
              <w:textAlignment w:val="baseline"/>
              <w:rPr>
                <w:rFonts w:hint="default" w:ascii="Arial" w:hAnsi="Arial" w:cs="Arial"/>
                <w:szCs w:val="24"/>
                <w:vertAlign w:val="baseline"/>
                <w:lang w:eastAsia="zh-CN"/>
              </w:rPr>
            </w:pPr>
            <w:r>
              <w:rPr>
                <w:rFonts w:hint="default" w:ascii="Arial" w:hAnsi="Arial" w:cs="Arial"/>
                <w:szCs w:val="24"/>
                <w:vertAlign w:val="baseline"/>
                <w:lang w:eastAsia="zh-CN"/>
              </w:rPr>
              <w:t xml:space="preserve">For outdoor, consider both 450m (1st priority) and 350 (2nd priority) until August. </w:t>
            </w:r>
          </w:p>
          <w:p>
            <w:pPr>
              <w:pStyle w:val="108"/>
              <w:widowControl/>
              <w:numPr>
                <w:ilvl w:val="1"/>
                <w:numId w:val="6"/>
              </w:numPr>
              <w:overflowPunct w:val="0"/>
              <w:autoSpaceDE w:val="0"/>
              <w:autoSpaceDN w:val="0"/>
              <w:adjustRightInd w:val="0"/>
              <w:spacing w:before="0" w:beforeAutospacing="0" w:after="120" w:afterAutospacing="0" w:line="240" w:lineRule="auto"/>
              <w:ind w:left="1440" w:right="0" w:hanging="360"/>
              <w:textAlignment w:val="baseline"/>
              <w:rPr>
                <w:rFonts w:cs="Arial"/>
              </w:rPr>
            </w:pPr>
            <w:r>
              <w:rPr>
                <w:rFonts w:hint="default" w:ascii="Arial" w:hAnsi="Arial" w:cs="Arial"/>
                <w:szCs w:val="24"/>
                <w:vertAlign w:val="baseline"/>
                <w:lang w:eastAsia="zh-CN"/>
              </w:rPr>
              <w:t>Also other ISD not precluded as 3rd priority than 450 and 350.</w:t>
            </w:r>
          </w:p>
          <w:p>
            <w:pPr>
              <w:keepNext w:val="0"/>
              <w:keepLines w:val="0"/>
              <w:widowControl/>
              <w:suppressLineNumbers w:val="0"/>
              <w:spacing w:before="0" w:beforeAutospacing="0" w:after="160" w:afterAutospacing="0" w:line="256" w:lineRule="auto"/>
              <w:ind w:left="0" w:right="0"/>
              <w:jc w:val="left"/>
              <w:rPr>
                <w:rFonts w:hint="default" w:cs="Arial"/>
                <w:b/>
                <w:bCs w:val="0"/>
                <w:u w:val="single"/>
                <w:lang w:val="en-US" w:eastAsia="ko"/>
              </w:rPr>
            </w:pPr>
            <w:r>
              <w:rPr>
                <w:rFonts w:hint="default" w:ascii="Arial" w:hAnsi="Arial" w:eastAsia="Calibri" w:cs="Arial"/>
                <w:b/>
                <w:bCs w:val="0"/>
                <w:kern w:val="0"/>
                <w:sz w:val="20"/>
                <w:szCs w:val="22"/>
                <w:u w:val="single"/>
                <w:lang w:val="en-US" w:eastAsia="ko" w:bidi="ar"/>
              </w:rPr>
              <w:t>Issue 3-4: Percentage indoor users for urban macro</w:t>
            </w:r>
          </w:p>
          <w:p>
            <w:pPr>
              <w:keepNext w:val="0"/>
              <w:keepLines w:val="0"/>
              <w:widowControl/>
              <w:suppressLineNumbers w:val="0"/>
              <w:spacing w:before="0" w:beforeAutospacing="0" w:after="120" w:afterAutospacing="0" w:line="256" w:lineRule="auto"/>
              <w:ind w:left="0" w:right="0"/>
              <w:jc w:val="left"/>
              <w:rPr>
                <w:rFonts w:hint="default" w:cs="Arial"/>
                <w:b/>
                <w:bCs/>
                <w:szCs w:val="24"/>
                <w:lang w:val="en-US" w:eastAsia="zh-CN"/>
              </w:rPr>
            </w:pPr>
            <w:r>
              <w:rPr>
                <w:rFonts w:hint="default" w:ascii="Arial" w:hAnsi="Arial" w:eastAsia="Calibri" w:cs="Arial"/>
                <w:b/>
                <w:bCs/>
                <w:kern w:val="0"/>
                <w:sz w:val="20"/>
                <w:szCs w:val="24"/>
                <w:lang w:val="en-US" w:eastAsia="zh-CN" w:bidi="ar"/>
              </w:rPr>
              <w:t xml:space="preserve">Agreement: </w:t>
            </w:r>
          </w:p>
          <w:p>
            <w:pPr>
              <w:pStyle w:val="108"/>
              <w:widowControl/>
              <w:numPr>
                <w:ilvl w:val="0"/>
                <w:numId w:val="7"/>
              </w:numPr>
              <w:spacing w:after="120" w:afterAutospacing="0"/>
              <w:ind w:hanging="360"/>
              <w:rPr>
                <w:rFonts w:cs="Arial"/>
                <w:b/>
                <w:bCs/>
                <w:lang w:val="en-US"/>
              </w:rPr>
            </w:pPr>
            <w:r>
              <w:rPr>
                <w:rFonts w:hint="default" w:ascii="Arial" w:hAnsi="Arial" w:cs="Arial"/>
                <w:szCs w:val="24"/>
                <w:lang w:eastAsia="zh-CN"/>
              </w:rPr>
              <w:t>Keep both options</w:t>
            </w:r>
          </w:p>
          <w:p>
            <w:pPr>
              <w:keepNext w:val="0"/>
              <w:keepLines w:val="0"/>
              <w:widowControl/>
              <w:suppressLineNumbers w:val="0"/>
              <w:spacing w:before="0" w:beforeAutospacing="0" w:after="160" w:afterAutospacing="0" w:line="256" w:lineRule="auto"/>
              <w:ind w:left="0" w:right="0"/>
              <w:jc w:val="left"/>
              <w:rPr>
                <w:rFonts w:hint="default" w:cs="Arial"/>
                <w:b/>
                <w:bCs w:val="0"/>
                <w:u w:val="single"/>
                <w:lang w:val="en-US" w:eastAsia="ko"/>
              </w:rPr>
            </w:pPr>
            <w:r>
              <w:rPr>
                <w:rFonts w:hint="default" w:ascii="Arial" w:hAnsi="Arial" w:eastAsia="Calibri" w:cs="Arial"/>
                <w:b/>
                <w:bCs w:val="0"/>
                <w:kern w:val="0"/>
                <w:sz w:val="20"/>
                <w:szCs w:val="22"/>
                <w:u w:val="single"/>
                <w:lang w:val="en-US" w:eastAsia="ko" w:bidi="ar"/>
              </w:rPr>
              <w:t xml:space="preserve">Issue 3-5: Co-ordinated and un-coordinated for outdoor </w:t>
            </w:r>
          </w:p>
          <w:p>
            <w:pPr>
              <w:keepNext w:val="0"/>
              <w:keepLines w:val="0"/>
              <w:widowControl/>
              <w:suppressLineNumbers w:val="0"/>
              <w:spacing w:before="0" w:beforeAutospacing="0" w:after="160" w:afterAutospacing="0" w:line="256" w:lineRule="auto"/>
              <w:ind w:left="0" w:right="0"/>
              <w:jc w:val="left"/>
              <w:rPr>
                <w:rFonts w:hint="default" w:cs="Arial"/>
                <w:b/>
                <w:bCs/>
                <w:iCs/>
                <w:lang w:val="en-US" w:eastAsia="zh-CN"/>
              </w:rPr>
            </w:pPr>
            <w:r>
              <w:rPr>
                <w:rFonts w:hint="default" w:ascii="Arial" w:hAnsi="Arial" w:eastAsia="Calibri" w:cs="Arial"/>
                <w:b/>
                <w:bCs/>
                <w:iCs/>
                <w:kern w:val="0"/>
                <w:sz w:val="20"/>
                <w:szCs w:val="22"/>
                <w:lang w:val="en-US" w:eastAsia="zh-CN" w:bidi="ar"/>
              </w:rPr>
              <w:t xml:space="preserve">Agreement: </w:t>
            </w:r>
          </w:p>
          <w:p>
            <w:pPr>
              <w:pStyle w:val="108"/>
              <w:widowControl/>
              <w:numPr>
                <w:ilvl w:val="0"/>
                <w:numId w:val="7"/>
              </w:numPr>
              <w:ind w:hanging="360"/>
              <w:rPr>
                <w:rFonts w:cs="Arial"/>
                <w:lang w:val="en-US"/>
              </w:rPr>
            </w:pPr>
            <w:r>
              <w:rPr>
                <w:rFonts w:hint="default" w:ascii="Arial" w:hAnsi="Arial" w:cs="Arial"/>
                <w:szCs w:val="24"/>
                <w:lang w:eastAsia="zh-CN"/>
              </w:rPr>
              <w:t>Both co-ordinated and un-coordinated</w:t>
            </w:r>
          </w:p>
          <w:p>
            <w:pPr>
              <w:keepNext w:val="0"/>
              <w:keepLines w:val="0"/>
              <w:widowControl/>
              <w:suppressLineNumbers w:val="0"/>
              <w:spacing w:before="0" w:beforeAutospacing="0" w:after="160" w:afterAutospacing="0" w:line="256" w:lineRule="auto"/>
              <w:ind w:left="0" w:right="0"/>
              <w:jc w:val="left"/>
              <w:rPr>
                <w:rFonts w:hint="default" w:cs="Arial"/>
                <w:lang w:val="en-US"/>
              </w:rPr>
            </w:pPr>
            <w:r>
              <w:rPr>
                <w:rFonts w:hint="default" w:ascii="Arial" w:hAnsi="Arial" w:eastAsia="Calibri" w:cs="Arial"/>
                <w:b/>
                <w:bCs w:val="0"/>
                <w:kern w:val="0"/>
                <w:sz w:val="20"/>
                <w:szCs w:val="22"/>
                <w:u w:val="single"/>
                <w:lang w:val="en-US" w:eastAsia="ko" w:bidi="ar"/>
              </w:rPr>
              <w:t>Issue 3-6: Co-ordinated and un-coordinated for indoor</w:t>
            </w:r>
          </w:p>
          <w:p>
            <w:pPr>
              <w:keepNext w:val="0"/>
              <w:keepLines w:val="0"/>
              <w:widowControl/>
              <w:suppressLineNumbers w:val="0"/>
              <w:spacing w:before="0" w:beforeAutospacing="0" w:after="160" w:afterAutospacing="0" w:line="256" w:lineRule="auto"/>
              <w:ind w:left="0" w:right="0"/>
              <w:jc w:val="left"/>
              <w:rPr>
                <w:rFonts w:hint="default" w:cs="Arial"/>
                <w:b/>
                <w:bCs/>
                <w:iCs/>
                <w:lang w:val="en-US" w:eastAsia="zh-CN"/>
              </w:rPr>
            </w:pPr>
            <w:r>
              <w:rPr>
                <w:rFonts w:hint="default" w:ascii="Arial" w:hAnsi="Arial" w:eastAsia="Calibri" w:cs="Arial"/>
                <w:b/>
                <w:bCs/>
                <w:iCs/>
                <w:kern w:val="0"/>
                <w:sz w:val="20"/>
                <w:szCs w:val="22"/>
                <w:lang w:val="en-US" w:eastAsia="zh-CN" w:bidi="ar"/>
              </w:rPr>
              <w:t xml:space="preserve">Agreement: </w:t>
            </w:r>
          </w:p>
          <w:p>
            <w:pPr>
              <w:pStyle w:val="108"/>
              <w:widowControl/>
              <w:numPr>
                <w:ilvl w:val="0"/>
                <w:numId w:val="7"/>
              </w:numPr>
              <w:ind w:hanging="360"/>
              <w:rPr>
                <w:rFonts w:cs="Arial"/>
                <w:lang w:val="en-US"/>
              </w:rPr>
            </w:pPr>
            <w:r>
              <w:rPr>
                <w:rFonts w:hint="default" w:ascii="Arial" w:hAnsi="Arial" w:cs="Arial"/>
                <w:iCs/>
                <w:lang w:eastAsia="zh-CN"/>
              </w:rPr>
              <w:t>Only co-ordinated</w:t>
            </w:r>
          </w:p>
          <w:p>
            <w:pPr>
              <w:keepNext w:val="0"/>
              <w:keepLines w:val="0"/>
              <w:widowControl/>
              <w:suppressLineNumbers w:val="0"/>
              <w:spacing w:before="0" w:beforeAutospacing="0" w:after="160" w:afterAutospacing="0" w:line="256" w:lineRule="auto"/>
              <w:ind w:left="0" w:right="0"/>
              <w:jc w:val="left"/>
              <w:rPr>
                <w:rFonts w:hint="default" w:cs="Arial"/>
                <w:b/>
                <w:bCs w:val="0"/>
                <w:u w:val="single"/>
                <w:lang w:val="en-US" w:eastAsia="ko"/>
              </w:rPr>
            </w:pPr>
            <w:r>
              <w:rPr>
                <w:rFonts w:hint="default" w:ascii="Arial" w:hAnsi="Arial" w:eastAsia="Calibri" w:cs="Arial"/>
                <w:b/>
                <w:bCs w:val="0"/>
                <w:kern w:val="0"/>
                <w:sz w:val="20"/>
                <w:szCs w:val="22"/>
                <w:u w:val="single"/>
                <w:lang w:val="en-US" w:eastAsia="ko" w:bidi="ar"/>
              </w:rPr>
              <w:t xml:space="preserve">Issue 3-7: Pathloss model </w:t>
            </w:r>
          </w:p>
          <w:p>
            <w:pPr>
              <w:keepNext w:val="0"/>
              <w:keepLines w:val="0"/>
              <w:widowControl/>
              <w:suppressLineNumbers w:val="0"/>
              <w:spacing w:before="0" w:beforeAutospacing="0" w:after="160" w:afterAutospacing="0" w:line="256" w:lineRule="auto"/>
              <w:ind w:left="0" w:right="0"/>
              <w:jc w:val="left"/>
              <w:rPr>
                <w:rFonts w:hint="default" w:cs="Arial"/>
                <w:b/>
                <w:bCs/>
                <w:szCs w:val="24"/>
                <w:lang w:val="en-US" w:eastAsia="zh-CN"/>
              </w:rPr>
            </w:pPr>
            <w:r>
              <w:rPr>
                <w:rFonts w:hint="default" w:ascii="Arial" w:hAnsi="Arial" w:eastAsia="Calibri" w:cs="Arial"/>
                <w:b/>
                <w:bCs/>
                <w:kern w:val="0"/>
                <w:sz w:val="20"/>
                <w:szCs w:val="24"/>
                <w:lang w:val="en-US" w:eastAsia="zh-CN" w:bidi="ar"/>
              </w:rPr>
              <w:t xml:space="preserve">Agreement: </w:t>
            </w:r>
          </w:p>
          <w:p>
            <w:pPr>
              <w:pStyle w:val="108"/>
              <w:widowControl/>
              <w:numPr>
                <w:ilvl w:val="0"/>
                <w:numId w:val="7"/>
              </w:numPr>
              <w:ind w:hanging="360"/>
              <w:rPr>
                <w:rFonts w:cs="Arial"/>
                <w:lang w:val="en-US"/>
              </w:rPr>
            </w:pPr>
            <w:r>
              <w:rPr>
                <w:rFonts w:hint="default" w:ascii="Arial" w:hAnsi="Arial" w:cs="Arial"/>
                <w:szCs w:val="24"/>
                <w:lang w:eastAsia="zh-CN"/>
              </w:rPr>
              <w:t>Follow 38.901</w:t>
            </w:r>
          </w:p>
          <w:p>
            <w:pPr>
              <w:keepNext w:val="0"/>
              <w:keepLines w:val="0"/>
              <w:widowControl/>
              <w:suppressLineNumbers w:val="0"/>
              <w:spacing w:before="0" w:beforeAutospacing="0" w:after="160" w:afterAutospacing="0" w:line="256" w:lineRule="auto"/>
              <w:ind w:left="0" w:right="0"/>
              <w:jc w:val="left"/>
              <w:rPr>
                <w:rFonts w:hint="default" w:cs="Arial"/>
                <w:b/>
                <w:bCs w:val="0"/>
                <w:u w:val="single"/>
                <w:lang w:val="en-US" w:eastAsia="ko"/>
              </w:rPr>
            </w:pPr>
            <w:r>
              <w:rPr>
                <w:rFonts w:hint="default" w:ascii="Arial" w:hAnsi="Arial" w:eastAsia="Calibri" w:cs="Arial"/>
                <w:b/>
                <w:bCs w:val="0"/>
                <w:kern w:val="0"/>
                <w:sz w:val="20"/>
                <w:szCs w:val="22"/>
                <w:u w:val="single"/>
                <w:lang w:val="en-US" w:eastAsia="ko" w:bidi="ar"/>
              </w:rPr>
              <w:t xml:space="preserve">Issue 3-6: BS antenna array size </w:t>
            </w:r>
          </w:p>
          <w:p>
            <w:pPr>
              <w:keepNext w:val="0"/>
              <w:keepLines w:val="0"/>
              <w:widowControl/>
              <w:suppressLineNumbers w:val="0"/>
              <w:spacing w:before="0" w:beforeAutospacing="0" w:after="120" w:afterAutospacing="0" w:line="256" w:lineRule="auto"/>
              <w:ind w:left="0" w:right="0"/>
              <w:jc w:val="left"/>
              <w:rPr>
                <w:rFonts w:hint="default" w:cs="Arial"/>
                <w:b/>
                <w:bCs/>
                <w:szCs w:val="24"/>
                <w:lang w:val="en-US" w:eastAsia="zh-CN"/>
              </w:rPr>
            </w:pPr>
            <w:r>
              <w:rPr>
                <w:rFonts w:hint="default" w:ascii="Arial" w:hAnsi="Arial" w:eastAsia="Calibri" w:cs="Arial"/>
                <w:b/>
                <w:bCs/>
                <w:kern w:val="0"/>
                <w:sz w:val="20"/>
                <w:szCs w:val="24"/>
                <w:lang w:val="en-US" w:eastAsia="zh-CN" w:bidi="ar"/>
              </w:rPr>
              <w:t xml:space="preserve">Agreement: </w:t>
            </w:r>
          </w:p>
          <w:p>
            <w:pPr>
              <w:keepNext w:val="0"/>
              <w:keepLines w:val="0"/>
              <w:widowControl/>
              <w:suppressLineNumbers w:val="0"/>
              <w:spacing w:before="0" w:beforeAutospacing="0" w:after="120" w:afterAutospacing="0" w:line="256" w:lineRule="auto"/>
              <w:ind w:left="0" w:right="0"/>
              <w:jc w:val="left"/>
              <w:rPr>
                <w:rFonts w:hint="default" w:cs="Arial"/>
                <w:szCs w:val="24"/>
                <w:lang w:val="en-US" w:eastAsia="zh-CN"/>
              </w:rPr>
            </w:pPr>
            <w:r>
              <w:rPr>
                <w:rFonts w:hint="default" w:ascii="Arial" w:hAnsi="Arial" w:eastAsia="Calibri" w:cs="Arial"/>
                <w:kern w:val="0"/>
                <w:sz w:val="20"/>
                <w:szCs w:val="24"/>
                <w:lang w:val="en-US" w:eastAsia="zh-CN" w:bidi="ar"/>
              </w:rPr>
              <w:t>Per polarization, for simulation only:</w:t>
            </w:r>
          </w:p>
          <w:p>
            <w:pPr>
              <w:pStyle w:val="108"/>
              <w:widowControl/>
              <w:numPr>
                <w:ilvl w:val="0"/>
                <w:numId w:val="8"/>
              </w:numPr>
              <w:overflowPunct w:val="0"/>
              <w:autoSpaceDE w:val="0"/>
              <w:autoSpaceDN w:val="0"/>
              <w:adjustRightInd w:val="0"/>
              <w:spacing w:after="120" w:afterAutospacing="0" w:line="240" w:lineRule="auto"/>
              <w:ind w:hanging="360"/>
              <w:textAlignment w:val="baseline"/>
              <w:rPr>
                <w:rFonts w:hint="default" w:ascii="Arial" w:hAnsi="Arial" w:cs="Arial"/>
                <w:szCs w:val="24"/>
                <w:vertAlign w:val="baseline"/>
                <w:lang w:eastAsia="zh-CN"/>
              </w:rPr>
            </w:pPr>
            <w:r>
              <w:rPr>
                <w:rFonts w:hint="default" w:ascii="Arial" w:hAnsi="Arial" w:cs="Arial"/>
                <w:szCs w:val="24"/>
                <w:vertAlign w:val="baseline"/>
                <w:lang w:eastAsia="zh-CN"/>
              </w:rPr>
              <w:t>2048 (Sub Array size 8)</w:t>
            </w:r>
          </w:p>
          <w:p>
            <w:pPr>
              <w:pStyle w:val="108"/>
              <w:widowControl/>
              <w:numPr>
                <w:ilvl w:val="0"/>
                <w:numId w:val="8"/>
              </w:numPr>
              <w:overflowPunct w:val="0"/>
              <w:autoSpaceDE w:val="0"/>
              <w:autoSpaceDN w:val="0"/>
              <w:adjustRightInd w:val="0"/>
              <w:spacing w:after="120" w:afterAutospacing="0" w:line="240" w:lineRule="auto"/>
              <w:ind w:hanging="360"/>
              <w:textAlignment w:val="baseline"/>
              <w:rPr>
                <w:rFonts w:hint="default" w:ascii="Arial" w:hAnsi="Arial" w:cs="Arial"/>
                <w:szCs w:val="24"/>
                <w:vertAlign w:val="baseline"/>
                <w:lang w:eastAsia="zh-CN"/>
              </w:rPr>
            </w:pPr>
            <w:r>
              <w:rPr>
                <w:rFonts w:hint="default" w:ascii="Arial" w:hAnsi="Arial" w:cs="Arial"/>
                <w:szCs w:val="24"/>
                <w:vertAlign w:val="baseline"/>
                <w:lang w:eastAsia="zh-CN"/>
              </w:rPr>
              <w:t>1536 (Sub Array size 4)</w:t>
            </w:r>
          </w:p>
          <w:p>
            <w:pPr>
              <w:pStyle w:val="108"/>
              <w:widowControl/>
              <w:numPr>
                <w:ilvl w:val="0"/>
                <w:numId w:val="8"/>
              </w:numPr>
              <w:overflowPunct w:val="0"/>
              <w:autoSpaceDE w:val="0"/>
              <w:autoSpaceDN w:val="0"/>
              <w:adjustRightInd w:val="0"/>
              <w:spacing w:after="120" w:afterAutospacing="0" w:line="240" w:lineRule="auto"/>
              <w:ind w:hanging="360"/>
              <w:textAlignment w:val="baseline"/>
              <w:rPr>
                <w:rFonts w:cs="Arial"/>
              </w:rPr>
            </w:pPr>
            <w:r>
              <w:rPr>
                <w:rFonts w:hint="default" w:ascii="Arial" w:hAnsi="Arial" w:cs="Arial"/>
                <w:szCs w:val="24"/>
                <w:vertAlign w:val="baseline"/>
                <w:lang w:eastAsia="zh-CN"/>
              </w:rPr>
              <w:t>Array size and Sub Array size for the response will be decided later, taking into account feasibility</w:t>
            </w:r>
          </w:p>
          <w:p>
            <w:pPr>
              <w:keepNext w:val="0"/>
              <w:keepLines w:val="0"/>
              <w:widowControl/>
              <w:suppressLineNumbers w:val="0"/>
              <w:spacing w:before="0" w:beforeAutospacing="0" w:after="160" w:afterAutospacing="0" w:line="256" w:lineRule="auto"/>
              <w:ind w:left="0" w:right="0"/>
              <w:jc w:val="left"/>
              <w:rPr>
                <w:rFonts w:hint="default" w:cs="Arial"/>
                <w:b/>
                <w:bCs w:val="0"/>
                <w:u w:val="single"/>
                <w:lang w:val="en-US" w:eastAsia="ko"/>
              </w:rPr>
            </w:pPr>
            <w:r>
              <w:rPr>
                <w:rFonts w:hint="default" w:ascii="Arial" w:hAnsi="Arial" w:eastAsia="Calibri" w:cs="Arial"/>
                <w:b/>
                <w:bCs w:val="0"/>
                <w:kern w:val="0"/>
                <w:sz w:val="20"/>
                <w:szCs w:val="22"/>
                <w:u w:val="single"/>
                <w:lang w:val="en-US" w:eastAsia="ko" w:bidi="ar"/>
              </w:rPr>
              <w:t xml:space="preserve">Issue 3-7: BS antenna array other parameters </w:t>
            </w:r>
          </w:p>
          <w:p>
            <w:pPr>
              <w:keepNext w:val="0"/>
              <w:keepLines w:val="0"/>
              <w:widowControl/>
              <w:suppressLineNumbers w:val="0"/>
              <w:spacing w:before="0" w:beforeAutospacing="0" w:after="160" w:afterAutospacing="0" w:line="256" w:lineRule="auto"/>
              <w:ind w:left="0" w:right="0"/>
              <w:jc w:val="left"/>
              <w:rPr>
                <w:rFonts w:hint="default" w:cs="Arial"/>
                <w:b/>
                <w:bCs/>
                <w:szCs w:val="24"/>
                <w:lang w:val="en-US" w:eastAsia="zh-CN"/>
              </w:rPr>
            </w:pPr>
            <w:r>
              <w:rPr>
                <w:rFonts w:hint="default" w:ascii="Arial" w:hAnsi="Arial" w:eastAsia="Calibri" w:cs="Arial"/>
                <w:b/>
                <w:bCs/>
                <w:kern w:val="0"/>
                <w:sz w:val="20"/>
                <w:szCs w:val="24"/>
                <w:lang w:val="en-US" w:eastAsia="zh-CN" w:bidi="ar"/>
              </w:rPr>
              <w:t xml:space="preserve">Agreement: </w:t>
            </w:r>
          </w:p>
          <w:p>
            <w:pPr>
              <w:pStyle w:val="108"/>
              <w:widowControl/>
              <w:numPr>
                <w:ilvl w:val="0"/>
                <w:numId w:val="9"/>
              </w:numPr>
              <w:ind w:hanging="360"/>
              <w:rPr>
                <w:rFonts w:hint="default" w:ascii="Arial" w:hAnsi="Arial" w:cs="Arial"/>
                <w:highlight w:val="yellow"/>
              </w:rPr>
            </w:pPr>
            <w:r>
              <w:rPr>
                <w:rFonts w:hint="default" w:ascii="Arial" w:hAnsi="Arial" w:cs="Arial"/>
                <w:szCs w:val="24"/>
                <w:highlight w:val="yellow"/>
                <w:lang w:eastAsia="zh-CN"/>
              </w:rPr>
              <w:t>0.7</w:t>
            </w:r>
            <w:r>
              <w:rPr>
                <w:rFonts w:hint="default" w:ascii="Arial" w:hAnsi="Arial" w:cs="Arial"/>
                <w:szCs w:val="24"/>
                <w:highlight w:val="yellow"/>
                <w:lang w:val="en-US" w:eastAsia="zh-CN"/>
              </w:rPr>
              <w:t xml:space="preserve"> spacing in vertical domain</w:t>
            </w:r>
            <w:r>
              <w:rPr>
                <w:rFonts w:hint="default" w:ascii="Arial" w:hAnsi="Arial" w:cs="Arial"/>
                <w:szCs w:val="24"/>
                <w:highlight w:val="yellow"/>
                <w:lang w:eastAsia="zh-CN"/>
              </w:rPr>
              <w:t xml:space="preserve"> is for simulation assumptions, double check for reply</w:t>
            </w:r>
          </w:p>
          <w:p>
            <w:pPr>
              <w:keepNext w:val="0"/>
              <w:keepLines w:val="0"/>
              <w:widowControl/>
              <w:suppressLineNumbers w:val="0"/>
              <w:spacing w:before="0" w:beforeAutospacing="0" w:after="160" w:afterAutospacing="0" w:line="256" w:lineRule="auto"/>
              <w:ind w:left="0" w:right="0"/>
              <w:jc w:val="left"/>
              <w:rPr>
                <w:rFonts w:hint="default" w:cs="Arial"/>
                <w:lang w:val="en-US"/>
              </w:rPr>
            </w:pPr>
          </w:p>
          <w:p>
            <w:pPr>
              <w:keepNext w:val="0"/>
              <w:keepLines w:val="0"/>
              <w:widowControl/>
              <w:suppressLineNumbers w:val="0"/>
              <w:spacing w:before="0" w:beforeAutospacing="0" w:after="160" w:afterAutospacing="0" w:line="256" w:lineRule="auto"/>
              <w:ind w:left="0" w:right="0"/>
              <w:jc w:val="left"/>
              <w:rPr>
                <w:rFonts w:hint="default" w:cs="Arial"/>
                <w:b/>
                <w:bCs w:val="0"/>
                <w:u w:val="single"/>
                <w:lang w:val="en-US" w:eastAsia="ko"/>
              </w:rPr>
            </w:pPr>
            <w:r>
              <w:rPr>
                <w:rFonts w:hint="default" w:ascii="Arial" w:hAnsi="Arial" w:eastAsia="Calibri" w:cs="Arial"/>
                <w:b/>
                <w:bCs w:val="0"/>
                <w:kern w:val="0"/>
                <w:sz w:val="20"/>
                <w:szCs w:val="22"/>
                <w:u w:val="single"/>
                <w:lang w:val="en-US" w:eastAsia="ko" w:bidi="ar"/>
              </w:rPr>
              <w:t>Issue 3-8: UE type</w:t>
            </w:r>
          </w:p>
          <w:p>
            <w:pPr>
              <w:keepNext w:val="0"/>
              <w:keepLines w:val="0"/>
              <w:widowControl/>
              <w:suppressLineNumbers w:val="0"/>
              <w:spacing w:before="0" w:beforeAutospacing="0" w:after="160" w:afterAutospacing="0" w:line="256" w:lineRule="auto"/>
              <w:ind w:left="0" w:right="0"/>
              <w:jc w:val="left"/>
              <w:rPr>
                <w:rFonts w:hint="default" w:cs="Arial"/>
                <w:b/>
                <w:bCs/>
                <w:szCs w:val="24"/>
                <w:lang w:val="en-US" w:eastAsia="zh-CN"/>
              </w:rPr>
            </w:pPr>
            <w:r>
              <w:rPr>
                <w:rFonts w:hint="default" w:ascii="Arial" w:hAnsi="Arial" w:eastAsia="Calibri" w:cs="Arial"/>
                <w:b/>
                <w:bCs/>
                <w:kern w:val="0"/>
                <w:sz w:val="20"/>
                <w:szCs w:val="24"/>
                <w:lang w:val="en-US" w:eastAsia="zh-CN" w:bidi="ar"/>
              </w:rPr>
              <w:t xml:space="preserve">Agreement: </w:t>
            </w:r>
          </w:p>
          <w:p>
            <w:pPr>
              <w:keepNext w:val="0"/>
              <w:keepLines w:val="0"/>
              <w:widowControl/>
              <w:suppressLineNumbers w:val="0"/>
              <w:spacing w:before="0" w:beforeAutospacing="0" w:after="120" w:afterAutospacing="0" w:line="256" w:lineRule="auto"/>
              <w:ind w:left="0" w:right="0"/>
              <w:jc w:val="left"/>
              <w:rPr>
                <w:rFonts w:hint="default" w:cs="Arial"/>
                <w:szCs w:val="24"/>
                <w:lang w:val="en-US" w:eastAsia="zh-CN"/>
              </w:rPr>
            </w:pPr>
            <w:r>
              <w:rPr>
                <w:rFonts w:hint="default" w:ascii="Arial" w:hAnsi="Arial" w:eastAsia="Calibri" w:cs="Arial"/>
                <w:kern w:val="0"/>
                <w:sz w:val="20"/>
                <w:szCs w:val="24"/>
                <w:lang w:val="en-US" w:eastAsia="zh-CN" w:bidi="ar"/>
              </w:rPr>
              <w:t xml:space="preserve">For simulations, consider both options. </w:t>
            </w:r>
          </w:p>
          <w:p>
            <w:pPr>
              <w:pStyle w:val="108"/>
              <w:widowControl/>
              <w:numPr>
                <w:ilvl w:val="0"/>
                <w:numId w:val="9"/>
              </w:numPr>
              <w:spacing w:after="120" w:afterAutospacing="0" w:line="240" w:lineRule="auto"/>
              <w:ind w:hanging="360"/>
              <w:rPr>
                <w:rFonts w:hint="default" w:ascii="Arial" w:hAnsi="Arial" w:eastAsia="宋体" w:cs="Arial"/>
                <w:szCs w:val="24"/>
                <w:lang w:eastAsia="zh-CN"/>
              </w:rPr>
            </w:pPr>
            <w:r>
              <w:rPr>
                <w:rFonts w:hint="default" w:ascii="Arial" w:hAnsi="Arial" w:eastAsia="宋体" w:cs="Arial"/>
                <w:szCs w:val="24"/>
                <w:lang w:eastAsia="zh-CN"/>
              </w:rPr>
              <w:t xml:space="preserve">FR1 like </w:t>
            </w:r>
          </w:p>
          <w:p>
            <w:pPr>
              <w:pStyle w:val="108"/>
              <w:widowControl/>
              <w:numPr>
                <w:ilvl w:val="1"/>
                <w:numId w:val="9"/>
              </w:numPr>
              <w:spacing w:before="0" w:beforeAutospacing="0" w:after="120" w:afterAutospacing="0" w:line="240" w:lineRule="auto"/>
              <w:ind w:left="1440" w:right="0" w:hanging="360"/>
              <w:rPr>
                <w:rFonts w:hint="default" w:ascii="Arial" w:hAnsi="Arial" w:eastAsia="宋体" w:cs="Arial"/>
                <w:szCs w:val="24"/>
                <w:lang w:eastAsia="zh-CN"/>
              </w:rPr>
            </w:pPr>
            <w:r>
              <w:rPr>
                <w:rFonts w:hint="default" w:ascii="Arial" w:hAnsi="Arial" w:eastAsia="宋体" w:cs="Arial"/>
                <w:szCs w:val="24"/>
                <w:lang w:eastAsia="zh-CN"/>
              </w:rPr>
              <w:t>RX diversity gain: [5] dB assuming 4RX</w:t>
            </w:r>
          </w:p>
          <w:p>
            <w:pPr>
              <w:pStyle w:val="108"/>
              <w:widowControl/>
              <w:numPr>
                <w:ilvl w:val="1"/>
                <w:numId w:val="9"/>
              </w:numPr>
              <w:spacing w:before="0" w:beforeAutospacing="0" w:after="120" w:afterAutospacing="0" w:line="240" w:lineRule="auto"/>
              <w:ind w:left="1440" w:right="0" w:hanging="360"/>
              <w:rPr>
                <w:rFonts w:hint="default" w:ascii="Arial" w:hAnsi="Arial" w:eastAsia="宋体" w:cs="Arial"/>
                <w:szCs w:val="24"/>
                <w:lang w:eastAsia="zh-CN"/>
              </w:rPr>
            </w:pPr>
            <w:r>
              <w:rPr>
                <w:rFonts w:hint="default" w:ascii="Arial" w:hAnsi="Arial" w:eastAsia="宋体" w:cs="Arial"/>
                <w:szCs w:val="24"/>
                <w:lang w:eastAsia="zh-CN"/>
              </w:rPr>
              <w:t>TX: 0dBi omnidirectional</w:t>
            </w:r>
          </w:p>
          <w:p>
            <w:pPr>
              <w:pStyle w:val="108"/>
              <w:widowControl/>
              <w:numPr>
                <w:ilvl w:val="1"/>
                <w:numId w:val="9"/>
              </w:numPr>
              <w:spacing w:before="0" w:beforeAutospacing="0" w:after="120" w:afterAutospacing="0" w:line="240" w:lineRule="auto"/>
              <w:ind w:left="1440" w:right="0" w:hanging="360"/>
              <w:rPr>
                <w:rFonts w:hint="default" w:ascii="Arial" w:hAnsi="Arial" w:eastAsia="宋体" w:cs="Arial"/>
                <w:szCs w:val="24"/>
                <w:lang w:eastAsia="zh-CN"/>
              </w:rPr>
            </w:pPr>
            <w:r>
              <w:rPr>
                <w:rFonts w:hint="default" w:ascii="Arial" w:hAnsi="Arial" w:eastAsia="宋体" w:cs="Arial"/>
                <w:szCs w:val="24"/>
                <w:lang w:eastAsia="zh-CN"/>
              </w:rPr>
              <w:t xml:space="preserve">Power: 23 dBm, 26dBm </w:t>
            </w:r>
          </w:p>
          <w:p>
            <w:pPr>
              <w:pStyle w:val="108"/>
              <w:widowControl/>
              <w:numPr>
                <w:ilvl w:val="0"/>
                <w:numId w:val="9"/>
              </w:numPr>
              <w:spacing w:after="120" w:afterAutospacing="0" w:line="240" w:lineRule="auto"/>
              <w:ind w:hanging="360"/>
              <w:rPr>
                <w:rFonts w:hint="default" w:ascii="Arial" w:hAnsi="Arial" w:eastAsia="宋体" w:cs="Arial"/>
                <w:szCs w:val="24"/>
                <w:lang w:eastAsia="zh-CN"/>
              </w:rPr>
            </w:pPr>
            <w:r>
              <w:rPr>
                <w:rFonts w:hint="default" w:ascii="Arial" w:hAnsi="Arial" w:eastAsia="宋体" w:cs="Arial"/>
                <w:szCs w:val="24"/>
                <w:lang w:eastAsia="zh-CN"/>
              </w:rPr>
              <w:t>FR</w:t>
            </w:r>
            <w:r>
              <w:rPr>
                <w:rFonts w:hint="default" w:ascii="Arial" w:hAnsi="Arial" w:eastAsia="宋体" w:cs="Arial"/>
                <w:szCs w:val="24"/>
                <w:lang w:val="en-US" w:eastAsia="zh-CN"/>
              </w:rPr>
              <w:t>2</w:t>
            </w:r>
            <w:r>
              <w:rPr>
                <w:rFonts w:hint="default" w:ascii="Arial" w:hAnsi="Arial" w:eastAsia="宋体" w:cs="Arial"/>
                <w:szCs w:val="24"/>
                <w:lang w:eastAsia="zh-CN"/>
              </w:rPr>
              <w:t xml:space="preserve"> like </w:t>
            </w:r>
          </w:p>
          <w:p>
            <w:pPr>
              <w:pStyle w:val="108"/>
              <w:widowControl/>
              <w:numPr>
                <w:ilvl w:val="1"/>
                <w:numId w:val="9"/>
              </w:numPr>
              <w:spacing w:before="0" w:beforeAutospacing="0" w:after="120" w:afterAutospacing="0" w:line="240" w:lineRule="auto"/>
              <w:ind w:left="1440" w:right="0" w:hanging="360"/>
              <w:rPr>
                <w:rFonts w:hint="default" w:ascii="Arial" w:hAnsi="Arial" w:eastAsia="宋体" w:cs="Arial"/>
                <w:szCs w:val="24"/>
                <w:lang w:eastAsia="zh-CN"/>
              </w:rPr>
            </w:pPr>
            <w:r>
              <w:rPr>
                <w:rFonts w:hint="default" w:ascii="Arial" w:hAnsi="Arial" w:eastAsia="宋体" w:cs="Arial"/>
                <w:szCs w:val="24"/>
                <w:lang w:eastAsia="zh-CN"/>
              </w:rPr>
              <w:t>Two panels (one in each direction) 2x2 antenna</w:t>
            </w:r>
          </w:p>
          <w:p>
            <w:pPr>
              <w:pStyle w:val="108"/>
              <w:widowControl/>
              <w:numPr>
                <w:ilvl w:val="2"/>
                <w:numId w:val="9"/>
              </w:numPr>
              <w:spacing w:before="0" w:beforeAutospacing="0" w:after="120" w:afterAutospacing="0" w:line="240" w:lineRule="auto"/>
              <w:ind w:left="2160" w:right="0" w:hanging="360"/>
              <w:rPr>
                <w:rFonts w:hint="default" w:ascii="Arial" w:hAnsi="Arial" w:eastAsia="宋体" w:cs="Arial"/>
                <w:szCs w:val="24"/>
                <w:lang w:eastAsia="zh-CN"/>
              </w:rPr>
            </w:pPr>
            <w:r>
              <w:rPr>
                <w:rFonts w:hint="default" w:ascii="Arial" w:hAnsi="Arial" w:eastAsia="宋体" w:cs="Arial"/>
                <w:szCs w:val="24"/>
                <w:lang w:eastAsia="zh-CN"/>
              </w:rPr>
              <w:t>5dBi element gain. Array gain comes on top</w:t>
            </w:r>
          </w:p>
          <w:p>
            <w:pPr>
              <w:pStyle w:val="108"/>
              <w:widowControl/>
              <w:numPr>
                <w:ilvl w:val="2"/>
                <w:numId w:val="9"/>
              </w:numPr>
              <w:spacing w:before="0" w:beforeAutospacing="0" w:after="120" w:afterAutospacing="0" w:line="240" w:lineRule="auto"/>
              <w:ind w:left="2160" w:right="0" w:hanging="360"/>
              <w:rPr>
                <w:rFonts w:cs="Arial"/>
                <w:lang w:val="en-US"/>
              </w:rPr>
            </w:pPr>
            <w:r>
              <w:rPr>
                <w:rFonts w:hint="default" w:ascii="Arial" w:hAnsi="Arial" w:eastAsia="宋体" w:cs="Arial"/>
                <w:szCs w:val="24"/>
                <w:lang w:eastAsia="zh-CN"/>
              </w:rPr>
              <w:t xml:space="preserve">Power: 23 dBm TRP </w:t>
            </w:r>
          </w:p>
          <w:p>
            <w:pPr>
              <w:keepNext w:val="0"/>
              <w:keepLines w:val="0"/>
              <w:widowControl/>
              <w:suppressLineNumbers w:val="0"/>
              <w:spacing w:before="0" w:beforeAutospacing="0" w:after="160" w:afterAutospacing="0" w:line="256" w:lineRule="auto"/>
              <w:ind w:left="0" w:right="0"/>
              <w:jc w:val="left"/>
              <w:rPr>
                <w:rFonts w:hint="default" w:cs="Arial"/>
                <w:b/>
                <w:bCs w:val="0"/>
                <w:u w:val="single"/>
                <w:lang w:val="en-US" w:eastAsia="ko"/>
              </w:rPr>
            </w:pPr>
            <w:r>
              <w:rPr>
                <w:rFonts w:hint="default" w:ascii="Arial" w:hAnsi="Arial" w:eastAsia="Calibri" w:cs="Arial"/>
                <w:b/>
                <w:bCs w:val="0"/>
                <w:kern w:val="0"/>
                <w:sz w:val="20"/>
                <w:szCs w:val="22"/>
                <w:u w:val="single"/>
                <w:lang w:val="en-US" w:eastAsia="ko" w:bidi="ar"/>
              </w:rPr>
              <w:t>Issue 3-9: BS output power</w:t>
            </w:r>
          </w:p>
          <w:p>
            <w:pPr>
              <w:keepNext w:val="0"/>
              <w:keepLines w:val="0"/>
              <w:widowControl/>
              <w:suppressLineNumbers w:val="0"/>
              <w:spacing w:before="0" w:beforeAutospacing="0" w:after="120" w:afterAutospacing="0" w:line="256" w:lineRule="auto"/>
              <w:ind w:left="0" w:right="0"/>
              <w:jc w:val="left"/>
              <w:rPr>
                <w:rFonts w:hint="default" w:cs="Arial"/>
                <w:b/>
                <w:bCs/>
                <w:szCs w:val="24"/>
                <w:lang w:val="en-US" w:eastAsia="zh-CN"/>
              </w:rPr>
            </w:pPr>
            <w:r>
              <w:rPr>
                <w:rFonts w:hint="default" w:ascii="Arial" w:hAnsi="Arial" w:eastAsia="Calibri" w:cs="Arial"/>
                <w:b/>
                <w:bCs/>
                <w:kern w:val="0"/>
                <w:sz w:val="20"/>
                <w:szCs w:val="24"/>
                <w:lang w:val="en-US" w:eastAsia="zh-CN" w:bidi="ar"/>
              </w:rPr>
              <w:t xml:space="preserve">Agreement: </w:t>
            </w:r>
          </w:p>
          <w:p>
            <w:pPr>
              <w:pStyle w:val="108"/>
              <w:widowControl/>
              <w:numPr>
                <w:ilvl w:val="0"/>
                <w:numId w:val="9"/>
              </w:numPr>
              <w:spacing w:after="120" w:afterAutospacing="0"/>
              <w:ind w:hanging="360"/>
              <w:rPr>
                <w:rFonts w:cs="Arial"/>
                <w:lang w:val="en-US"/>
              </w:rPr>
            </w:pPr>
            <w:r>
              <w:rPr>
                <w:rFonts w:hint="default" w:ascii="Arial" w:hAnsi="Arial" w:cs="Arial"/>
                <w:szCs w:val="24"/>
                <w:highlight w:val="yellow"/>
                <w:lang w:eastAsia="zh-CN"/>
              </w:rPr>
              <w:t>Assume 43dBm BS power for simulations</w:t>
            </w:r>
          </w:p>
          <w:p>
            <w:pPr>
              <w:keepNext w:val="0"/>
              <w:keepLines w:val="0"/>
              <w:widowControl/>
              <w:suppressLineNumbers w:val="0"/>
              <w:spacing w:before="0" w:beforeAutospacing="0" w:after="160" w:afterAutospacing="0" w:line="256" w:lineRule="auto"/>
              <w:ind w:left="0" w:right="0"/>
              <w:jc w:val="left"/>
              <w:rPr>
                <w:rFonts w:hint="default" w:cs="Arial"/>
                <w:b/>
                <w:bCs w:val="0"/>
                <w:u w:val="single"/>
                <w:lang w:val="en-US" w:eastAsia="ko"/>
              </w:rPr>
            </w:pPr>
            <w:r>
              <w:rPr>
                <w:rFonts w:hint="default" w:ascii="Arial" w:hAnsi="Arial" w:eastAsia="Calibri" w:cs="Arial"/>
                <w:b/>
                <w:bCs w:val="0"/>
                <w:kern w:val="0"/>
                <w:sz w:val="20"/>
                <w:szCs w:val="22"/>
                <w:u w:val="single"/>
                <w:lang w:val="en-US" w:eastAsia="ko" w:bidi="ar"/>
              </w:rPr>
              <w:t>Issue 3-10: Bandwidth</w:t>
            </w:r>
          </w:p>
          <w:p>
            <w:pPr>
              <w:keepNext w:val="0"/>
              <w:keepLines w:val="0"/>
              <w:widowControl/>
              <w:suppressLineNumbers w:val="0"/>
              <w:spacing w:before="0" w:beforeAutospacing="0" w:after="160" w:afterAutospacing="0" w:line="256" w:lineRule="auto"/>
              <w:ind w:left="0" w:right="0"/>
              <w:jc w:val="left"/>
              <w:rPr>
                <w:rFonts w:hint="default" w:cs="Arial"/>
                <w:b/>
                <w:bCs/>
                <w:szCs w:val="24"/>
                <w:lang w:val="en-US" w:eastAsia="zh-CN"/>
              </w:rPr>
            </w:pPr>
            <w:r>
              <w:rPr>
                <w:rFonts w:hint="default" w:ascii="Arial" w:hAnsi="Arial" w:eastAsia="Calibri" w:cs="Arial"/>
                <w:b/>
                <w:bCs/>
                <w:kern w:val="0"/>
                <w:sz w:val="20"/>
                <w:szCs w:val="24"/>
                <w:lang w:val="en-US" w:eastAsia="zh-CN" w:bidi="ar"/>
              </w:rPr>
              <w:t>Agreement:</w:t>
            </w:r>
          </w:p>
          <w:p>
            <w:pPr>
              <w:pStyle w:val="108"/>
              <w:widowControl/>
              <w:numPr>
                <w:ilvl w:val="0"/>
                <w:numId w:val="6"/>
              </w:numPr>
              <w:overflowPunct w:val="0"/>
              <w:autoSpaceDE w:val="0"/>
              <w:autoSpaceDN w:val="0"/>
              <w:adjustRightInd w:val="0"/>
              <w:spacing w:after="180" w:afterAutospacing="0" w:line="240" w:lineRule="auto"/>
              <w:ind w:hanging="360"/>
              <w:textAlignment w:val="baseline"/>
              <w:rPr>
                <w:rFonts w:hint="default" w:ascii="Arial" w:hAnsi="Arial" w:cs="Arial"/>
                <w:szCs w:val="24"/>
                <w:vertAlign w:val="baseline"/>
                <w:lang w:eastAsia="zh-CN"/>
              </w:rPr>
            </w:pPr>
            <w:r>
              <w:rPr>
                <w:rFonts w:hint="default" w:ascii="Arial" w:hAnsi="Arial" w:cs="Arial"/>
                <w:szCs w:val="24"/>
                <w:vertAlign w:val="baseline"/>
                <w:lang w:eastAsia="zh-CN"/>
              </w:rPr>
              <w:t>For number of UEs per slot:</w:t>
            </w:r>
          </w:p>
          <w:p>
            <w:pPr>
              <w:pStyle w:val="108"/>
              <w:widowControl/>
              <w:numPr>
                <w:ilvl w:val="1"/>
                <w:numId w:val="6"/>
              </w:numPr>
              <w:overflowPunct w:val="0"/>
              <w:autoSpaceDE w:val="0"/>
              <w:autoSpaceDN w:val="0"/>
              <w:adjustRightInd w:val="0"/>
              <w:spacing w:before="0" w:beforeAutospacing="0" w:after="180" w:afterAutospacing="0" w:line="240" w:lineRule="auto"/>
              <w:ind w:left="1440" w:right="0" w:hanging="360"/>
              <w:textAlignment w:val="baseline"/>
              <w:rPr>
                <w:rFonts w:hint="default" w:ascii="Arial" w:hAnsi="Arial" w:cs="Arial"/>
                <w:szCs w:val="24"/>
                <w:vertAlign w:val="baseline"/>
                <w:lang w:eastAsia="zh-CN"/>
              </w:rPr>
            </w:pPr>
            <w:r>
              <w:rPr>
                <w:rFonts w:hint="default" w:ascii="Arial" w:hAnsi="Arial" w:cs="Arial"/>
                <w:szCs w:val="24"/>
                <w:vertAlign w:val="baseline"/>
                <w:lang w:eastAsia="zh-CN"/>
              </w:rPr>
              <w:t>1 UE per slot as 1</w:t>
            </w:r>
            <w:r>
              <w:rPr>
                <w:rFonts w:hint="default" w:ascii="Arial" w:hAnsi="Arial" w:cs="Arial"/>
                <w:szCs w:val="24"/>
                <w:vertAlign w:val="superscript"/>
                <w:lang w:eastAsia="zh-CN"/>
              </w:rPr>
              <w:t>st</w:t>
            </w:r>
            <w:r>
              <w:rPr>
                <w:rFonts w:hint="default" w:ascii="Arial" w:hAnsi="Arial" w:cs="Arial"/>
                <w:szCs w:val="24"/>
                <w:vertAlign w:val="baseline"/>
                <w:lang w:eastAsia="zh-CN"/>
              </w:rPr>
              <w:t xml:space="preserve"> priority</w:t>
            </w:r>
          </w:p>
          <w:p>
            <w:pPr>
              <w:pStyle w:val="108"/>
              <w:widowControl/>
              <w:numPr>
                <w:ilvl w:val="1"/>
                <w:numId w:val="6"/>
              </w:numPr>
              <w:overflowPunct w:val="0"/>
              <w:autoSpaceDE w:val="0"/>
              <w:autoSpaceDN w:val="0"/>
              <w:adjustRightInd w:val="0"/>
              <w:spacing w:before="0" w:beforeAutospacing="0" w:after="180" w:afterAutospacing="0" w:line="240" w:lineRule="auto"/>
              <w:ind w:left="1440" w:right="0" w:hanging="360"/>
              <w:textAlignment w:val="baseline"/>
              <w:rPr>
                <w:rFonts w:cs="Arial"/>
                <w:b/>
                <w:bCs w:val="0"/>
                <w:u w:val="single"/>
                <w:lang w:eastAsia="ko"/>
              </w:rPr>
            </w:pPr>
            <w:r>
              <w:rPr>
                <w:rFonts w:hint="default" w:ascii="Arial" w:hAnsi="Arial" w:cs="Arial"/>
                <w:szCs w:val="24"/>
                <w:vertAlign w:val="baseline"/>
                <w:lang w:eastAsia="zh-CN"/>
              </w:rPr>
              <w:t>3 UE per slot as 2</w:t>
            </w:r>
            <w:r>
              <w:rPr>
                <w:rFonts w:hint="default" w:ascii="Arial" w:hAnsi="Arial" w:cs="Arial"/>
                <w:szCs w:val="24"/>
                <w:vertAlign w:val="superscript"/>
                <w:lang w:eastAsia="zh-CN"/>
              </w:rPr>
              <w:t>nd</w:t>
            </w:r>
            <w:r>
              <w:rPr>
                <w:rFonts w:hint="default" w:ascii="Arial" w:hAnsi="Arial" w:cs="Arial"/>
                <w:szCs w:val="24"/>
                <w:vertAlign w:val="baseline"/>
                <w:lang w:eastAsia="zh-CN"/>
              </w:rPr>
              <w:t xml:space="preserve"> priority</w:t>
            </w:r>
          </w:p>
          <w:p>
            <w:pPr>
              <w:keepNext w:val="0"/>
              <w:keepLines w:val="0"/>
              <w:widowControl/>
              <w:suppressLineNumbers w:val="0"/>
              <w:spacing w:before="0" w:beforeAutospacing="0" w:after="160" w:afterAutospacing="0" w:line="256" w:lineRule="auto"/>
              <w:ind w:left="0" w:right="0"/>
              <w:jc w:val="left"/>
              <w:rPr>
                <w:rFonts w:hint="default" w:cs="Arial"/>
                <w:b/>
                <w:bCs w:val="0"/>
                <w:u w:val="single"/>
                <w:lang w:val="en-US" w:eastAsia="ko"/>
              </w:rPr>
            </w:pPr>
            <w:bookmarkStart w:id="1" w:name="_Hlk167375335"/>
            <w:r>
              <w:rPr>
                <w:rFonts w:hint="default" w:ascii="Arial" w:hAnsi="Arial" w:eastAsia="Calibri" w:cs="Arial"/>
                <w:b/>
                <w:bCs w:val="0"/>
                <w:kern w:val="0"/>
                <w:sz w:val="20"/>
                <w:szCs w:val="22"/>
                <w:u w:val="single"/>
                <w:lang w:val="en-US" w:eastAsia="ko" w:bidi="ar"/>
              </w:rPr>
              <w:t>Issue 3-11: BS noise factor</w:t>
            </w:r>
          </w:p>
          <w:bookmarkEnd w:id="1"/>
          <w:p>
            <w:pPr>
              <w:keepNext w:val="0"/>
              <w:keepLines w:val="0"/>
              <w:widowControl/>
              <w:suppressLineNumbers w:val="0"/>
              <w:spacing w:before="0" w:beforeAutospacing="0" w:after="160" w:afterAutospacing="0" w:line="256" w:lineRule="auto"/>
              <w:ind w:left="0" w:right="0"/>
              <w:jc w:val="left"/>
              <w:rPr>
                <w:rFonts w:hint="default" w:cs="Arial"/>
                <w:b/>
                <w:bCs/>
                <w:iCs/>
                <w:lang w:val="en-US" w:eastAsia="zh-CN"/>
              </w:rPr>
            </w:pPr>
            <w:r>
              <w:rPr>
                <w:rFonts w:hint="default" w:ascii="Arial" w:hAnsi="Arial" w:eastAsia="Calibri" w:cs="Arial"/>
                <w:b/>
                <w:bCs/>
                <w:iCs/>
                <w:kern w:val="0"/>
                <w:sz w:val="20"/>
                <w:szCs w:val="22"/>
                <w:lang w:val="en-US" w:eastAsia="zh-CN" w:bidi="ar"/>
              </w:rPr>
              <w:t xml:space="preserve">Agreement: </w:t>
            </w:r>
          </w:p>
          <w:p>
            <w:pPr>
              <w:pStyle w:val="108"/>
              <w:widowControl/>
              <w:numPr>
                <w:ilvl w:val="0"/>
                <w:numId w:val="10"/>
              </w:numPr>
              <w:ind w:hanging="360"/>
              <w:rPr>
                <w:rFonts w:cs="Arial"/>
                <w:b/>
                <w:bCs w:val="0"/>
                <w:u w:val="single"/>
                <w:lang w:val="en-US" w:eastAsia="ko"/>
              </w:rPr>
            </w:pPr>
            <w:r>
              <w:rPr>
                <w:rFonts w:hint="default" w:ascii="Arial" w:hAnsi="Arial" w:cs="Arial"/>
                <w:iCs/>
                <w:highlight w:val="yellow"/>
                <w:lang w:eastAsia="zh-CN"/>
              </w:rPr>
              <w:t>For simulations, assume 8dB</w:t>
            </w:r>
          </w:p>
          <w:p>
            <w:pPr>
              <w:keepNext w:val="0"/>
              <w:keepLines w:val="0"/>
              <w:widowControl/>
              <w:suppressLineNumbers w:val="0"/>
              <w:spacing w:before="0" w:beforeAutospacing="0" w:after="160" w:afterAutospacing="0" w:line="256" w:lineRule="auto"/>
              <w:ind w:left="0" w:right="0"/>
              <w:jc w:val="left"/>
              <w:rPr>
                <w:rFonts w:hint="default" w:cs="Arial"/>
                <w:b/>
                <w:bCs w:val="0"/>
                <w:u w:val="single"/>
                <w:lang w:val="en-US" w:eastAsia="ko"/>
              </w:rPr>
            </w:pPr>
            <w:r>
              <w:rPr>
                <w:rFonts w:hint="default" w:ascii="Arial" w:hAnsi="Arial" w:eastAsia="Calibri" w:cs="Arial"/>
                <w:b/>
                <w:bCs w:val="0"/>
                <w:kern w:val="0"/>
                <w:sz w:val="20"/>
                <w:szCs w:val="22"/>
                <w:u w:val="single"/>
                <w:lang w:val="en-US" w:eastAsia="ko" w:bidi="ar"/>
              </w:rPr>
              <w:t>Issue 3-11: UE noise factor</w:t>
            </w:r>
          </w:p>
          <w:p>
            <w:pPr>
              <w:keepNext w:val="0"/>
              <w:keepLines w:val="0"/>
              <w:widowControl/>
              <w:suppressLineNumbers w:val="0"/>
              <w:spacing w:before="0" w:beforeAutospacing="0" w:after="120" w:afterAutospacing="0" w:line="256" w:lineRule="auto"/>
              <w:ind w:left="0" w:right="0"/>
              <w:jc w:val="left"/>
              <w:rPr>
                <w:rFonts w:hint="default" w:cs="Arial"/>
                <w:b/>
                <w:bCs/>
                <w:iCs/>
                <w:lang w:val="en-US" w:eastAsia="zh-CN"/>
              </w:rPr>
            </w:pPr>
            <w:r>
              <w:rPr>
                <w:rFonts w:hint="default" w:ascii="Arial" w:hAnsi="Arial" w:eastAsia="Calibri" w:cs="Arial"/>
                <w:b/>
                <w:bCs/>
                <w:iCs/>
                <w:kern w:val="0"/>
                <w:sz w:val="20"/>
                <w:szCs w:val="22"/>
                <w:lang w:val="en-US" w:eastAsia="zh-CN" w:bidi="ar"/>
              </w:rPr>
              <w:t xml:space="preserve">Agreement: </w:t>
            </w:r>
          </w:p>
          <w:p>
            <w:pPr>
              <w:pStyle w:val="108"/>
              <w:widowControl/>
              <w:numPr>
                <w:ilvl w:val="0"/>
                <w:numId w:val="10"/>
              </w:numPr>
              <w:spacing w:after="120" w:afterAutospacing="0"/>
              <w:ind w:hanging="360"/>
              <w:rPr>
                <w:rFonts w:hint="default" w:cs="Times New Roman"/>
                <w:sz w:val="20"/>
                <w:szCs w:val="20"/>
                <w:vertAlign w:val="baseline"/>
                <w:lang w:val="en-US" w:eastAsia="zh-CN"/>
              </w:rPr>
            </w:pPr>
            <w:r>
              <w:rPr>
                <w:rFonts w:hint="default" w:ascii="Arial" w:hAnsi="Arial" w:cs="Arial"/>
                <w:iCs/>
                <w:highlight w:val="yellow"/>
                <w:lang w:eastAsia="zh-CN"/>
              </w:rPr>
              <w:t>11dB for simulations. Actual noise factor for reply will be decided based on feasibility.</w:t>
            </w:r>
          </w:p>
        </w:tc>
      </w:tr>
    </w:tbl>
    <w:p>
      <w:pPr>
        <w:tabs>
          <w:tab w:val="left" w:pos="2127"/>
        </w:tabs>
        <w:spacing w:after="0"/>
        <w:rPr>
          <w:rFonts w:hint="default" w:cs="Times New Roman"/>
          <w:sz w:val="20"/>
          <w:szCs w:val="20"/>
          <w:lang w:val="en-US" w:eastAsia="zh-CN"/>
        </w:rPr>
      </w:pPr>
    </w:p>
    <w:p>
      <w:pPr>
        <w:pStyle w:val="57"/>
        <w:tabs>
          <w:tab w:val="left" w:pos="567"/>
          <w:tab w:val="clear" w:pos="1985"/>
        </w:tabs>
        <w:adjustRightInd w:val="0"/>
        <w:ind w:left="510" w:hanging="510"/>
        <w:rPr>
          <w:rFonts w:eastAsia="Times New Roman"/>
        </w:rPr>
      </w:pPr>
      <w:r>
        <w:rPr>
          <w:rFonts w:hint="eastAsia"/>
        </w:rPr>
        <w:t xml:space="preserve">Discussion </w:t>
      </w:r>
      <w:bookmarkStart w:id="2" w:name="OLE_LINK14"/>
      <w:bookmarkStart w:id="3" w:name="OLE_LINK13"/>
      <w:bookmarkStart w:id="4" w:name="OLE_LINK20"/>
      <w:bookmarkStart w:id="5" w:name="OLE_LINK10"/>
      <w:r>
        <w:rPr>
          <w:rFonts w:hint="eastAsia" w:eastAsia="Times New Roman"/>
        </w:rPr>
        <w:t xml:space="preserve"> </w:t>
      </w:r>
    </w:p>
    <w:p>
      <w:pPr>
        <w:jc w:val="left"/>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Simulation assumptions</w:t>
      </w:r>
    </w:p>
    <w:p>
      <w:pPr>
        <w:pStyle w:val="47"/>
        <w:jc w:val="left"/>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In last RAN4 meeting, we have reached the consensus on some simulation assumption in high level, however there are still lots of clarifications or further discussions needed in order to conduct the coexistence evaluations. </w:t>
      </w:r>
    </w:p>
    <w:p>
      <w:pPr>
        <w:pStyle w:val="47"/>
        <w:jc w:val="left"/>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Regarding the BS antenna geometry assumptions are agreed as following, however there are no clear description of rows and columns e.g. M and N; </w:t>
      </w:r>
    </w:p>
    <w:p>
      <w:pPr>
        <w:pStyle w:val="109"/>
        <w:widowControl/>
        <w:numPr>
          <w:ilvl w:val="0"/>
          <w:numId w:val="8"/>
        </w:numPr>
        <w:overflowPunct w:val="0"/>
        <w:autoSpaceDE w:val="0"/>
        <w:autoSpaceDN w:val="0"/>
        <w:adjustRightInd w:val="0"/>
        <w:spacing w:after="120" w:afterAutospacing="0" w:line="240" w:lineRule="auto"/>
        <w:ind w:hanging="360"/>
        <w:textAlignment w:val="baseline"/>
        <w:rPr>
          <w:rFonts w:hint="default" w:ascii="Times New Roman" w:hAnsi="Times New Roman" w:cs="Times New Roman"/>
          <w:sz w:val="20"/>
          <w:szCs w:val="20"/>
          <w:vertAlign w:val="baseline"/>
          <w:lang w:eastAsia="zh-CN"/>
        </w:rPr>
      </w:pPr>
      <w:r>
        <w:rPr>
          <w:rFonts w:hint="default" w:ascii="Times New Roman" w:hAnsi="Times New Roman" w:cs="Times New Roman"/>
          <w:sz w:val="20"/>
          <w:szCs w:val="20"/>
          <w:vertAlign w:val="baseline"/>
          <w:lang w:eastAsia="zh-CN"/>
        </w:rPr>
        <w:t>2048 (Sub Array size 8)</w:t>
      </w:r>
    </w:p>
    <w:p>
      <w:pPr>
        <w:pStyle w:val="109"/>
        <w:widowControl/>
        <w:numPr>
          <w:ilvl w:val="0"/>
          <w:numId w:val="8"/>
        </w:numPr>
        <w:overflowPunct w:val="0"/>
        <w:autoSpaceDE w:val="0"/>
        <w:autoSpaceDN w:val="0"/>
        <w:adjustRightInd w:val="0"/>
        <w:spacing w:after="120" w:afterAutospacing="0" w:line="240" w:lineRule="auto"/>
        <w:ind w:hanging="360"/>
        <w:textAlignment w:val="baseline"/>
        <w:rPr>
          <w:rFonts w:hint="default" w:ascii="Times New Roman" w:hAnsi="Times New Roman" w:cs="Times New Roman"/>
          <w:sz w:val="20"/>
          <w:szCs w:val="20"/>
          <w:vertAlign w:val="baseline"/>
          <w:lang w:eastAsia="zh-CN"/>
        </w:rPr>
      </w:pPr>
      <w:r>
        <w:rPr>
          <w:rFonts w:hint="default" w:ascii="Times New Roman" w:hAnsi="Times New Roman" w:cs="Times New Roman"/>
          <w:sz w:val="20"/>
          <w:szCs w:val="20"/>
          <w:vertAlign w:val="baseline"/>
          <w:lang w:eastAsia="zh-CN"/>
        </w:rPr>
        <w:t>1536 (Sub Array size 4)</w:t>
      </w:r>
    </w:p>
    <w:p>
      <w:pPr>
        <w:pStyle w:val="47"/>
        <w:jc w:val="left"/>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Regarding the BS antenna geometry assumptions are agreed as following, however there are no clear description of rows and columns e.g. M and N. In this contribution, we would like to further clarify its detailed antenna configurations in the following table given the assumption of maintaining the similar antenna array size as low frequency ranges. e.g. 4.9GHz or U6GHz.  </w:t>
      </w:r>
    </w:p>
    <w:p>
      <w:pPr>
        <w:pStyle w:val="47"/>
        <w:rPr>
          <w:rFonts w:hint="default" w:eastAsia="宋体"/>
          <w:lang w:val="en-US" w:eastAsia="zh-CN"/>
        </w:rPr>
      </w:pPr>
      <w:r>
        <w:rPr>
          <w:rFonts w:hint="eastAsia" w:ascii="Times New Roman" w:hAnsi="Times New Roman" w:cs="Times New Roman"/>
          <w:b w:val="0"/>
          <w:bCs w:val="0"/>
          <w:lang w:val="en-US" w:eastAsia="zh-CN"/>
        </w:rPr>
        <w:t xml:space="preserve"> </w:t>
      </w:r>
      <w:r>
        <w:rPr>
          <w:lang w:val="en-US"/>
        </w:rPr>
        <w:t xml:space="preserve">Table </w:t>
      </w:r>
      <w:r>
        <w:rPr>
          <w:rFonts w:hint="eastAsia"/>
          <w:lang w:val="en-US" w:eastAsia="zh-CN"/>
        </w:rPr>
        <w:t>2.1-1</w:t>
      </w:r>
      <w:r>
        <w:rPr>
          <w:lang w:val="en-US"/>
        </w:rPr>
        <w:t>: Antenna array parameters</w:t>
      </w:r>
      <w:r>
        <w:rPr>
          <w:rFonts w:hint="eastAsia"/>
          <w:lang w:val="en-US" w:eastAsia="zh-CN"/>
        </w:rPr>
        <w:t xml:space="preserve"> for Macro urban</w:t>
      </w:r>
    </w:p>
    <w:tbl>
      <w:tblPr>
        <w:tblStyle w:val="2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08"/>
        <w:gridCol w:w="4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61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suppressLineNumbers w:val="0"/>
              <w:spacing w:before="0" w:beforeAutospacing="0" w:afterAutospacing="0"/>
              <w:ind w:left="0" w:right="0"/>
              <w:rPr>
                <w:rFonts w:hint="default"/>
              </w:rPr>
            </w:pPr>
            <w:r>
              <w:rPr>
                <w:rFonts w:hint="default"/>
              </w:rPr>
              <w:t>Parameter</w:t>
            </w:r>
          </w:p>
        </w:tc>
        <w:tc>
          <w:tcPr>
            <w:tcW w:w="23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suppressLineNumbers w:val="0"/>
              <w:spacing w:before="0" w:beforeAutospacing="0" w:afterAutospacing="0"/>
              <w:ind w:left="0" w:right="0"/>
              <w:rPr>
                <w:rFonts w:hint="default"/>
              </w:rPr>
            </w:pPr>
            <w:r>
              <w:rPr>
                <w:rFonts w:hint="default"/>
              </w:rP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1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zh-CN"/>
              </w:rPr>
            </w:pPr>
            <w:r>
              <w:rPr>
                <w:rFonts w:hint="default"/>
                <w:lang w:eastAsia="ja-JP"/>
              </w:rPr>
              <w:t xml:space="preserve">Element gain </w:t>
            </w:r>
            <w:r>
              <w:rPr>
                <w:rFonts w:hint="default"/>
                <w:lang w:eastAsia="zh-CN"/>
              </w:rPr>
              <w:t xml:space="preserve">(dBi) </w:t>
            </w:r>
            <w:r>
              <w:rPr>
                <w:rFonts w:hint="default"/>
                <w:vertAlign w:val="superscript"/>
                <w:lang w:eastAsia="ko-KR"/>
              </w:rPr>
              <w:t>(Note 2)</w:t>
            </w:r>
          </w:p>
        </w:tc>
        <w:tc>
          <w:tcPr>
            <w:tcW w:w="2385" w:type="pct"/>
            <w:tcBorders>
              <w:top w:val="single" w:color="auto" w:sz="4" w:space="0"/>
              <w:left w:val="single" w:color="auto" w:sz="4" w:space="0"/>
              <w:bottom w:val="single" w:color="auto" w:sz="4" w:space="0"/>
              <w:right w:val="single" w:color="auto" w:sz="4" w:space="0"/>
            </w:tcBorders>
            <w:shd w:val="clear" w:color="auto" w:fill="auto"/>
          </w:tcPr>
          <w:p>
            <w:pPr>
              <w:pStyle w:val="38"/>
              <w:suppressLineNumbers w:val="0"/>
              <w:spacing w:before="0" w:beforeAutospacing="0" w:afterAutospacing="0"/>
              <w:ind w:left="0" w:right="0"/>
              <w:rPr>
                <w:rFonts w:hint="default" w:eastAsia="Calibri"/>
              </w:rPr>
            </w:pPr>
            <w:r>
              <w:rPr>
                <w:rFonts w:hint="default"/>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1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ja-JP"/>
              </w:rPr>
            </w:pPr>
            <w:r>
              <w:rPr>
                <w:rFonts w:hint="default"/>
                <w:lang w:eastAsia="ja-JP"/>
              </w:rPr>
              <w:t>Horizontal/vertical 3 dB beam width of single element (degree)</w:t>
            </w:r>
            <w:r>
              <w:rPr>
                <w:rFonts w:hint="default"/>
                <w:lang w:eastAsia="ko-KR"/>
              </w:rPr>
              <w:t xml:space="preserve"> </w:t>
            </w:r>
          </w:p>
        </w:tc>
        <w:tc>
          <w:tcPr>
            <w:tcW w:w="23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rPr>
            </w:pPr>
            <w:r>
              <w:rPr>
                <w:rFonts w:hint="default"/>
              </w:rPr>
              <w:t>90</w:t>
            </w:r>
            <w:r>
              <w:rPr>
                <w:rFonts w:hint="default"/>
                <w:lang w:eastAsia="ko-KR"/>
              </w:rPr>
              <w:t xml:space="preserve">º </w:t>
            </w:r>
            <w:r>
              <w:rPr>
                <w:rFonts w:hint="default"/>
              </w:rPr>
              <w:t xml:space="preserve">for </w:t>
            </w:r>
            <w:r>
              <w:rPr>
                <w:rFonts w:hint="default"/>
                <w:lang w:eastAsia="ko-KR"/>
              </w:rPr>
              <w:t>H</w:t>
            </w:r>
            <w:r>
              <w:rPr>
                <w:rFonts w:hint="default"/>
                <w:lang w:eastAsia="ko-KR"/>
              </w:rPr>
              <w:br w:type="textWrapping"/>
            </w:r>
            <w:r>
              <w:rPr>
                <w:rFonts w:hint="default"/>
                <w:lang w:eastAsia="ko-KR"/>
              </w:rPr>
              <w:t>65º</w:t>
            </w:r>
            <w:r>
              <w:rPr>
                <w:rFonts w:hint="default" w:eastAsia="Malgun Gothic"/>
                <w:lang w:eastAsia="ko-KR"/>
              </w:rPr>
              <w:t xml:space="preserve"> </w:t>
            </w:r>
            <w:r>
              <w:rPr>
                <w:rFonts w:hint="default"/>
              </w:rPr>
              <w:t xml:space="preserve">for </w:t>
            </w:r>
            <w:r>
              <w:rPr>
                <w:rFonts w:hint="default"/>
                <w:lang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1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zh-CN"/>
              </w:rPr>
            </w:pPr>
            <w:r>
              <w:rPr>
                <w:rFonts w:hint="default"/>
                <w:lang w:eastAsia="zh-CN"/>
              </w:rPr>
              <w:t>Horizontal/vertical front</w:t>
            </w:r>
            <w:r>
              <w:rPr>
                <w:rFonts w:hint="default"/>
                <w:lang w:eastAsia="zh-CN"/>
              </w:rPr>
              <w:noBreakHyphen/>
            </w:r>
            <w:r>
              <w:rPr>
                <w:rFonts w:hint="default"/>
                <w:lang w:eastAsia="zh-CN"/>
              </w:rPr>
              <w:t>to</w:t>
            </w:r>
            <w:r>
              <w:rPr>
                <w:rFonts w:hint="default"/>
                <w:lang w:eastAsia="zh-CN"/>
              </w:rPr>
              <w:noBreakHyphen/>
            </w:r>
            <w:r>
              <w:rPr>
                <w:rFonts w:hint="default"/>
                <w:lang w:eastAsia="zh-CN"/>
              </w:rPr>
              <w:t>back ratio (dB)</w:t>
            </w:r>
          </w:p>
        </w:tc>
        <w:tc>
          <w:tcPr>
            <w:tcW w:w="23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rPr>
            </w:pPr>
            <w:r>
              <w:rPr>
                <w:rFonts w:hint="default"/>
              </w:rP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1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zh-CN"/>
              </w:rPr>
            </w:pPr>
            <w:r>
              <w:rPr>
                <w:rFonts w:hint="default"/>
                <w:lang w:eastAsia="ja-JP"/>
              </w:rPr>
              <w:t xml:space="preserve">Antenna polarization </w:t>
            </w:r>
          </w:p>
        </w:tc>
        <w:tc>
          <w:tcPr>
            <w:tcW w:w="23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rPr>
            </w:pPr>
            <w:r>
              <w:rPr>
                <w:rFonts w:hint="default"/>
              </w:rPr>
              <w:t>Linear ±45</w:t>
            </w:r>
            <w:r>
              <w:rPr>
                <w:rFonts w:hint="default"/>
                <w:lang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1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rPr>
            </w:pPr>
            <w:r>
              <w:rPr>
                <w:rFonts w:hint="default"/>
              </w:rPr>
              <w:t>Antenna sub-array configuration (Row × Column)</w:t>
            </w:r>
            <w:r>
              <w:rPr>
                <w:rFonts w:hint="default"/>
                <w:lang w:eastAsia="ko-KR"/>
              </w:rPr>
              <w:t xml:space="preserve"> </w:t>
            </w:r>
            <w:r>
              <w:rPr>
                <w:rFonts w:hint="default"/>
                <w:lang w:eastAsia="ko-KR"/>
              </w:rPr>
              <w:br w:type="textWrapping"/>
            </w:r>
            <w:r>
              <w:rPr>
                <w:rFonts w:hint="default"/>
                <w:vertAlign w:val="superscript"/>
                <w:lang w:eastAsia="ko-KR"/>
              </w:rPr>
              <w:t>(Note 4)</w:t>
            </w:r>
          </w:p>
        </w:tc>
        <w:tc>
          <w:tcPr>
            <w:tcW w:w="23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宋体"/>
                <w:lang w:val="en-US" w:eastAsia="zh-CN"/>
              </w:rPr>
            </w:pPr>
            <w:r>
              <w:rPr>
                <w:rFonts w:hint="default" w:ascii="Arial" w:hAnsi="Arial"/>
                <w:sz w:val="18"/>
                <w:szCs w:val="20"/>
                <w:lang w:val="en-GB"/>
              </w:rPr>
              <w:t>16 x 24 / 8 x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1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rPr>
            </w:pPr>
            <w:r>
              <w:rPr>
                <w:rFonts w:hint="default"/>
              </w:rPr>
              <w:t xml:space="preserve">Horizontal/Vertical radiating sub-array spacing </w:t>
            </w:r>
          </w:p>
        </w:tc>
        <w:tc>
          <w:tcPr>
            <w:tcW w:w="23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rPr>
            </w:pPr>
            <w:r>
              <w:rPr>
                <w:rFonts w:hint="eastAsia" w:eastAsia="宋体"/>
                <w:lang w:val="en-US" w:eastAsia="zh-CN"/>
              </w:rPr>
              <w:t xml:space="preserve">Option 1: </w:t>
            </w:r>
            <w:r>
              <w:rPr>
                <w:rFonts w:hint="default"/>
              </w:rPr>
              <w:t xml:space="preserve">0.5 of wavelength for H, </w:t>
            </w:r>
            <w:r>
              <w:rPr>
                <w:rFonts w:hint="eastAsia" w:eastAsia="宋体"/>
                <w:lang w:val="en-US" w:eastAsia="zh-CN"/>
              </w:rPr>
              <w:t>5</w:t>
            </w:r>
            <w:r>
              <w:rPr>
                <w:rFonts w:hint="default"/>
              </w:rPr>
              <w:t>.</w:t>
            </w:r>
            <w:r>
              <w:rPr>
                <w:rFonts w:hint="eastAsia" w:eastAsia="宋体"/>
                <w:lang w:val="en-US" w:eastAsia="zh-CN"/>
              </w:rPr>
              <w:t>6</w:t>
            </w:r>
            <w:r>
              <w:rPr>
                <w:rFonts w:hint="default"/>
              </w:rPr>
              <w:t xml:space="preserve"> of wavelength for V</w:t>
            </w:r>
          </w:p>
          <w:p>
            <w:pPr>
              <w:pStyle w:val="38"/>
              <w:suppressLineNumbers w:val="0"/>
              <w:spacing w:before="0" w:beforeAutospacing="0" w:afterAutospacing="0"/>
              <w:ind w:left="0" w:right="0"/>
              <w:rPr>
                <w:rFonts w:hint="default"/>
              </w:rPr>
            </w:pPr>
            <w:r>
              <w:rPr>
                <w:rFonts w:hint="eastAsia" w:eastAsia="宋体"/>
                <w:lang w:val="en-US" w:eastAsia="zh-CN"/>
              </w:rPr>
              <w:t xml:space="preserve">Option 1: </w:t>
            </w:r>
            <w:r>
              <w:rPr>
                <w:rFonts w:hint="default"/>
              </w:rPr>
              <w:t>0.5 of wavelength for H, 2.</w:t>
            </w:r>
            <w:r>
              <w:rPr>
                <w:rFonts w:hint="eastAsia" w:eastAsia="宋体"/>
                <w:lang w:val="en-US" w:eastAsia="zh-CN"/>
              </w:rPr>
              <w:t>8</w:t>
            </w:r>
            <w:r>
              <w:rPr>
                <w:rFonts w:hint="default"/>
              </w:rPr>
              <w:t xml:space="preserve">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1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ko-KR"/>
              </w:rPr>
            </w:pPr>
            <w:r>
              <w:rPr>
                <w:rFonts w:hint="default"/>
                <w:lang w:eastAsia="ko-KR"/>
              </w:rPr>
              <w:t>Number of element rows in sub-array</w:t>
            </w:r>
          </w:p>
        </w:tc>
        <w:tc>
          <w:tcPr>
            <w:tcW w:w="23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eastAsia="ko-KR"/>
              </w:rPr>
            </w:pPr>
            <w:r>
              <w:rPr>
                <w:rFonts w:hint="default" w:ascii="Arial" w:hAnsi="Arial" w:eastAsia="Calibri"/>
                <w:sz w:val="18"/>
                <w:szCs w:val="20"/>
                <w:lang w:val="en-GB" w:eastAsia="ko-KR"/>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1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ko-KR"/>
              </w:rPr>
            </w:pPr>
            <w:r>
              <w:rPr>
                <w:rFonts w:hint="default"/>
                <w:lang w:eastAsia="ko-KR"/>
              </w:rPr>
              <w:t>Vertical element separation in sub-array (</w:t>
            </w:r>
            <m:oMath>
              <m:sSub>
                <m:sSubPr>
                  <m:ctrlPr>
                    <w:rPr>
                      <w:rFonts w:hint="default" w:ascii="Cambria Math" w:hAnsi="Cambria Math"/>
                      <w:i/>
                      <w:iCs/>
                      <w:lang w:eastAsia="zh-CN"/>
                    </w:rPr>
                  </m:ctrlPr>
                </m:sSubPr>
                <m:e>
                  <m:r>
                    <m:rPr/>
                    <w:rPr>
                      <w:rFonts w:hint="default" w:ascii="Cambria Math" w:hAnsi="Cambria Math"/>
                      <w:lang w:eastAsia="zh-CN"/>
                    </w:rPr>
                    <m:t>d</m:t>
                  </m:r>
                  <m:ctrlPr>
                    <w:rPr>
                      <w:rFonts w:hint="default" w:ascii="Cambria Math" w:hAnsi="Cambria Math"/>
                      <w:i/>
                      <w:iCs/>
                      <w:lang w:eastAsia="zh-CN"/>
                    </w:rPr>
                  </m:ctrlPr>
                </m:e>
                <m:sub>
                  <m:r>
                    <m:rPr/>
                    <w:rPr>
                      <w:rFonts w:hint="default" w:ascii="Cambria Math" w:hAnsi="Cambria Math"/>
                      <w:lang w:eastAsia="zh-CN"/>
                    </w:rPr>
                    <m:t>v,sub</m:t>
                  </m:r>
                  <m:ctrlPr>
                    <w:rPr>
                      <w:rFonts w:hint="default" w:ascii="Cambria Math" w:hAnsi="Cambria Math"/>
                      <w:i/>
                      <w:iCs/>
                      <w:lang w:eastAsia="zh-CN"/>
                    </w:rPr>
                  </m:ctrlPr>
                </m:sub>
              </m:sSub>
            </m:oMath>
            <w:r>
              <w:rPr>
                <w:rFonts w:hint="default"/>
                <w:lang w:eastAsia="ko-KR"/>
              </w:rPr>
              <w:t>)</w:t>
            </w:r>
          </w:p>
        </w:tc>
        <w:tc>
          <w:tcPr>
            <w:tcW w:w="23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eastAsia="ko-KR"/>
              </w:rPr>
            </w:pPr>
            <w:r>
              <w:rPr>
                <w:rFonts w:hint="default" w:eastAsia="Calibri"/>
                <w:lang w:eastAsia="ko-KR"/>
              </w:rPr>
              <w:t>0.7 of wavelength of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1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ko-KR"/>
              </w:rPr>
            </w:pPr>
            <w:r>
              <w:rPr>
                <w:rFonts w:hint="default"/>
                <w:lang w:eastAsia="ko-KR"/>
              </w:rPr>
              <w:t>Pre-set sub-array down-tilt (degrees)</w:t>
            </w:r>
          </w:p>
        </w:tc>
        <w:tc>
          <w:tcPr>
            <w:tcW w:w="23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宋体"/>
                <w:lang w:val="en-US" w:eastAsia="zh-CN"/>
              </w:rPr>
            </w:pPr>
            <w:r>
              <w:rPr>
                <w:rFonts w:hint="default" w:eastAsia="Calibri"/>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1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rPr>
            </w:pPr>
            <w:r>
              <w:rPr>
                <w:rFonts w:hint="default"/>
                <w:lang w:eastAsia="ko-KR"/>
              </w:rPr>
              <w:t xml:space="preserve">Array Ohmic loss (dB) </w:t>
            </w:r>
            <w:r>
              <w:rPr>
                <w:rFonts w:hint="default"/>
                <w:vertAlign w:val="superscript"/>
                <w:lang w:eastAsia="ko-KR"/>
              </w:rPr>
              <w:t>(Note 2)</w:t>
            </w:r>
          </w:p>
        </w:tc>
        <w:tc>
          <w:tcPr>
            <w:tcW w:w="23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rPr>
            </w:pPr>
            <w:r>
              <w:rPr>
                <w:rFonts w:hint="default" w:eastAsia="Calibri"/>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1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highlight w:val="yellow"/>
                <w:lang w:eastAsia="ko-KR"/>
              </w:rPr>
            </w:pPr>
            <w:r>
              <w:rPr>
                <w:rFonts w:hint="default"/>
                <w:highlight w:val="yellow"/>
                <w:lang w:eastAsia="ko-KR"/>
              </w:rPr>
              <w:t>Conducted power (before Ohmic loss) per sub-array</w:t>
            </w:r>
            <w:r>
              <w:rPr>
                <w:rFonts w:hint="default"/>
                <w:highlight w:val="yellow"/>
                <w:lang w:eastAsia="zh-CN"/>
              </w:rPr>
              <w:t xml:space="preserve"> (dBm) </w:t>
            </w:r>
            <w:r>
              <w:rPr>
                <w:rFonts w:hint="default"/>
                <w:highlight w:val="yellow"/>
                <w:vertAlign w:val="superscript"/>
                <w:lang w:eastAsia="ko-KR"/>
              </w:rPr>
              <w:t>(Note 3)</w:t>
            </w:r>
            <w:r>
              <w:rPr>
                <w:rFonts w:hint="default"/>
                <w:highlight w:val="yellow"/>
                <w:lang w:eastAsia="ko-KR"/>
              </w:rPr>
              <w:t xml:space="preserve"> </w:t>
            </w:r>
          </w:p>
        </w:tc>
        <w:tc>
          <w:tcPr>
            <w:tcW w:w="23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highlight w:val="yellow"/>
              </w:rPr>
            </w:pPr>
            <w:r>
              <w:rPr>
                <w:rFonts w:hint="default" w:ascii="Arial" w:hAnsi="Arial" w:eastAsia="Calibri"/>
                <w:sz w:val="18"/>
                <w:szCs w:val="20"/>
                <w:lang w:val="en-GB" w:eastAsia="ko-KR"/>
              </w:rPr>
              <w:t>17.14/18.9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1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ko-KR"/>
              </w:rPr>
            </w:pPr>
            <w:r>
              <w:rPr>
                <w:rFonts w:hint="default"/>
                <w:lang w:eastAsia="ko-KR"/>
              </w:rPr>
              <w:t>Base station horizontal coverage range (degrees)</w:t>
            </w:r>
          </w:p>
        </w:tc>
        <w:tc>
          <w:tcPr>
            <w:tcW w:w="23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eastAsia="ko-KR"/>
              </w:rPr>
            </w:pPr>
            <w:r>
              <w:rPr>
                <w:rFonts w:hint="default" w:eastAsia="Calibri"/>
                <w:lang w:eastAsia="ko-K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1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ko-KR"/>
              </w:rPr>
            </w:pPr>
            <w:r>
              <w:rPr>
                <w:rFonts w:hint="default"/>
                <w:lang w:eastAsia="ko-KR"/>
              </w:rPr>
              <w:t xml:space="preserve">Base station vertical coverage range (degrees) </w:t>
            </w:r>
            <w:r>
              <w:rPr>
                <w:rFonts w:hint="default"/>
                <w:vertAlign w:val="superscript"/>
                <w:lang w:eastAsia="ko-KR"/>
              </w:rPr>
              <w:t>(Note 1)</w:t>
            </w:r>
          </w:p>
        </w:tc>
        <w:tc>
          <w:tcPr>
            <w:tcW w:w="23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eastAsia="ko-KR"/>
              </w:rPr>
            </w:pPr>
            <w:r>
              <w:rPr>
                <w:rFonts w:hint="default"/>
                <w:lang w:val="en-US" w:eastAsia="zh-CN"/>
              </w:rPr>
              <w:t>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14" w:type="pct"/>
            <w:tcBorders>
              <w:top w:val="single" w:color="auto" w:sz="4" w:space="0"/>
              <w:left w:val="single" w:color="auto" w:sz="4" w:space="0"/>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lang w:eastAsia="ko-KR"/>
              </w:rPr>
            </w:pPr>
            <w:r>
              <w:rPr>
                <w:rFonts w:hint="default"/>
                <w:lang w:eastAsia="ko-KR"/>
              </w:rPr>
              <w:t xml:space="preserve">Mechanical down-tilt (degrees) </w:t>
            </w:r>
          </w:p>
        </w:tc>
        <w:tc>
          <w:tcPr>
            <w:tcW w:w="23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eastAsia="Calibri"/>
                <w:lang w:eastAsia="ko-KR"/>
              </w:rPr>
            </w:pPr>
            <w:r>
              <w:rPr>
                <w:rFonts w:hint="default"/>
                <w:lang w:val="en-US" w:eastAsia="zh-CN"/>
              </w:rPr>
              <w:t>6</w:t>
            </w:r>
          </w:p>
        </w:tc>
      </w:tr>
    </w:tbl>
    <w:p>
      <w:pPr>
        <w:pStyle w:val="47"/>
        <w:keepNext/>
        <w:keepLines/>
        <w:pageBreakBefore w:val="0"/>
        <w:widowControl/>
        <w:kinsoku/>
        <w:wordWrap/>
        <w:overflowPunct w:val="0"/>
        <w:topLinePunct w:val="0"/>
        <w:autoSpaceDE w:val="0"/>
        <w:autoSpaceDN w:val="0"/>
        <w:bidi w:val="0"/>
        <w:adjustRightInd w:val="0"/>
        <w:snapToGrid/>
        <w:spacing w:before="0" w:after="0" w:line="240" w:lineRule="atLeast"/>
        <w:textAlignment w:val="baseline"/>
        <w:rPr>
          <w:rFonts w:hint="default" w:ascii="Arial" w:hAnsi="Arial" w:eastAsia="宋体" w:cs="Arial"/>
          <w:b/>
          <w:bCs/>
          <w:lang w:val="en-US" w:eastAsia="zh-CN"/>
        </w:rPr>
      </w:pPr>
      <w:r>
        <w:rPr>
          <w:rFonts w:hint="default" w:ascii="Arial" w:hAnsi="Arial" w:eastAsia="宋体" w:cs="Arial"/>
          <w:b/>
          <w:bCs/>
          <w:lang w:val="en-US" w:eastAsia="zh-CN"/>
        </w:rPr>
        <w:t xml:space="preserve"> </w:t>
      </w:r>
    </w:p>
    <w:p>
      <w:pPr>
        <w:pStyle w:val="47"/>
        <w:keepNext/>
        <w:keepLines/>
        <w:pageBreakBefore w:val="0"/>
        <w:widowControl/>
        <w:kinsoku/>
        <w:wordWrap/>
        <w:overflowPunct w:val="0"/>
        <w:topLinePunct w:val="0"/>
        <w:autoSpaceDE w:val="0"/>
        <w:autoSpaceDN w:val="0"/>
        <w:bidi w:val="0"/>
        <w:adjustRightInd w:val="0"/>
        <w:snapToGrid/>
        <w:spacing w:before="0" w:after="0" w:line="240" w:lineRule="atLeast"/>
        <w:textAlignment w:val="baseline"/>
        <w:rPr>
          <w:rFonts w:hint="default" w:ascii="Arial" w:hAnsi="Arial" w:eastAsia="宋体" w:cs="Arial"/>
          <w:b/>
          <w:bCs/>
          <w:lang w:val="en-US" w:eastAsia="zh-CN"/>
        </w:rPr>
      </w:pPr>
      <w:r>
        <w:rPr>
          <w:rFonts w:hint="default" w:ascii="Arial" w:hAnsi="Arial" w:eastAsia="宋体" w:cs="Arial"/>
          <w:b/>
          <w:bCs/>
          <w:lang w:val="en-US" w:eastAsia="zh-CN"/>
        </w:rPr>
        <w:t>Table 2.1-2: Antenna array parameters for small cell indoor</w:t>
      </w:r>
    </w:p>
    <w:tbl>
      <w:tblPr>
        <w:tblStyle w:val="25"/>
        <w:tblpPr w:leftFromText="180" w:rightFromText="180" w:vertAnchor="text" w:horzAnchor="page" w:tblpX="2422" w:tblpY="6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5757"/>
        <w:gridCol w:w="1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trPr>
        <w:tc>
          <w:tcPr>
            <w:tcW w:w="0" w:type="auto"/>
          </w:tcPr>
          <w:p>
            <w:pPr>
              <w:pStyle w:val="37"/>
              <w:keepNext/>
              <w:keepLines/>
              <w:pageBreakBefore w:val="0"/>
              <w:widowControl/>
              <w:suppressLineNumbers w:val="0"/>
              <w:kinsoku/>
              <w:wordWrap/>
              <w:overflowPunct w:val="0"/>
              <w:topLinePunct w:val="0"/>
              <w:autoSpaceDE w:val="0"/>
              <w:autoSpaceDN w:val="0"/>
              <w:bidi w:val="0"/>
              <w:adjustRightInd w:val="0"/>
              <w:snapToGrid/>
              <w:spacing w:before="0" w:beforeAutospacing="0" w:afterAutospacing="0" w:line="240" w:lineRule="atLeast"/>
              <w:ind w:left="0" w:right="0"/>
              <w:textAlignment w:val="baseline"/>
              <w:rPr>
                <w:rFonts w:hint="eastAsia"/>
                <w:lang w:val="en-US" w:eastAsia="zh-CN"/>
              </w:rPr>
            </w:pPr>
            <w:r>
              <w:rPr>
                <w:rFonts w:hint="eastAsia"/>
                <w:lang w:val="en-US" w:eastAsia="zh-CN"/>
              </w:rPr>
              <w:tab/>
            </w:r>
            <w:r>
              <w:rPr>
                <w:rFonts w:hint="eastAsia"/>
                <w:lang w:val="en-US" w:eastAsia="zh-CN"/>
              </w:rPr>
              <w:t>Parameter</w:t>
            </w:r>
          </w:p>
        </w:tc>
        <w:tc>
          <w:tcPr>
            <w:tcW w:w="0" w:type="auto"/>
          </w:tcPr>
          <w:p>
            <w:pPr>
              <w:pStyle w:val="37"/>
              <w:keepNext/>
              <w:keepLines/>
              <w:pageBreakBefore w:val="0"/>
              <w:widowControl/>
              <w:suppressLineNumbers w:val="0"/>
              <w:kinsoku/>
              <w:wordWrap/>
              <w:overflowPunct w:val="0"/>
              <w:topLinePunct w:val="0"/>
              <w:autoSpaceDE w:val="0"/>
              <w:autoSpaceDN w:val="0"/>
              <w:bidi w:val="0"/>
              <w:adjustRightInd w:val="0"/>
              <w:snapToGrid/>
              <w:spacing w:before="0" w:beforeAutospacing="0" w:afterAutospacing="0" w:line="240" w:lineRule="atLeast"/>
              <w:ind w:left="0" w:right="0"/>
              <w:textAlignment w:val="baseline"/>
              <w:rPr>
                <w:rFonts w:hint="eastAsia"/>
                <w:lang w:val="en-US" w:eastAsia="zh-CN"/>
              </w:rPr>
            </w:pPr>
            <w:r>
              <w:rPr>
                <w:rFonts w:hint="eastAsia"/>
                <w:lang w:val="en-US" w:eastAsia="zh-CN"/>
              </w:rPr>
              <w:t>Small cell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tcPr>
          <w:p>
            <w:pPr>
              <w:pStyle w:val="47"/>
              <w:keepNext/>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Am (dB)</w:t>
            </w:r>
          </w:p>
        </w:tc>
        <w:tc>
          <w:tcPr>
            <w:tcW w:w="0" w:type="auto"/>
          </w:tcPr>
          <w:p>
            <w:pPr>
              <w:pStyle w:val="47"/>
              <w:keepNext/>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SLAv (dB)</w:t>
            </w:r>
          </w:p>
        </w:tc>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3dB (deg.)</w:t>
            </w:r>
          </w:p>
        </w:tc>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3dB (deg.)</w:t>
            </w:r>
          </w:p>
        </w:tc>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GE,max (dBi)</w:t>
            </w:r>
          </w:p>
        </w:tc>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LE  (dB)</w:t>
            </w:r>
          </w:p>
        </w:tc>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(M, N)</w:t>
            </w:r>
          </w:p>
        </w:tc>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w:t>
            </w:r>
            <w:r>
              <w:rPr>
                <w:rFonts w:hint="eastAsia" w:ascii="Times New Roman" w:hAnsi="Times New Roman" w:cs="Times New Roman"/>
                <w:b w:val="0"/>
                <w:bCs w:val="0"/>
                <w:lang w:val="en-US" w:eastAsia="zh-CN"/>
              </w:rPr>
              <w:t>4,</w:t>
            </w:r>
            <w:r>
              <w:rPr>
                <w:rFonts w:hint="eastAsia" w:ascii="Times New Roman" w:hAnsi="Times New Roman" w:eastAsia="宋体" w:cs="Times New Roman"/>
                <w:b w:val="0"/>
                <w:bCs w:val="0"/>
                <w:lang w:val="en-US" w:eastAsia="zh-CN"/>
              </w:rPr>
              <w:t xml:space="preserve"> </w:t>
            </w:r>
            <w:r>
              <w:rPr>
                <w:rFonts w:hint="eastAsia" w:ascii="Times New Roman" w:hAnsi="Times New Roman" w:cs="Times New Roman"/>
                <w:b w:val="0"/>
                <w:bCs w:val="0"/>
                <w:lang w:val="en-US" w:eastAsia="zh-CN"/>
              </w:rPr>
              <w:t>4</w:t>
            </w:r>
            <w:r>
              <w:rPr>
                <w:rFonts w:hint="eastAsia" w:ascii="Times New Roman" w:hAnsi="Times New Roman" w:eastAsia="宋体" w:cs="Times New Roman"/>
                <w:b w:val="0"/>
                <w:bCs w:val="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Number of supported polarizations, P</w:t>
            </w:r>
          </w:p>
        </w:tc>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dh (m)</w:t>
            </w:r>
          </w:p>
        </w:tc>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dv (m)</w:t>
            </w:r>
          </w:p>
        </w:tc>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Horizontal coverage range (deg.)</w:t>
            </w:r>
          </w:p>
        </w:tc>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Vertical coverage range (deg.)</w:t>
            </w:r>
          </w:p>
        </w:tc>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Conducted power (before ohmic loss) per antenna element, Ptx (dBm)</w:t>
            </w:r>
          </w:p>
        </w:tc>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9</w:t>
            </w:r>
          </w:p>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Mechanical downtilt (deg.)</w:t>
            </w:r>
          </w:p>
        </w:tc>
        <w:tc>
          <w:tcPr>
            <w:tcW w:w="0" w:type="auto"/>
          </w:tcPr>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 xml:space="preserve">N/A </w:t>
            </w:r>
          </w:p>
          <w:p>
            <w:pPr>
              <w:pStyle w:val="47"/>
              <w:suppressLineNumbers w:val="0"/>
              <w:spacing w:beforeAutospacing="0" w:afterAutospacing="0"/>
              <w:ind w:left="0" w:right="0"/>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(Note 7)</w:t>
            </w:r>
          </w:p>
        </w:tc>
      </w:tr>
    </w:tbl>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pStyle w:val="47"/>
        <w:keepNext/>
        <w:keepLines/>
        <w:pageBreakBefore w:val="0"/>
        <w:widowControl/>
        <w:kinsoku/>
        <w:wordWrap/>
        <w:overflowPunct w:val="0"/>
        <w:topLinePunct w:val="0"/>
        <w:autoSpaceDE w:val="0"/>
        <w:autoSpaceDN w:val="0"/>
        <w:bidi w:val="0"/>
        <w:adjustRightInd w:val="0"/>
        <w:snapToGrid/>
        <w:spacing w:before="0" w:after="0" w:line="260" w:lineRule="auto"/>
        <w:jc w:val="left"/>
        <w:textAlignment w:val="baseline"/>
        <w:rPr>
          <w:rFonts w:hint="default" w:ascii="Times New Roman" w:hAnsi="Times New Roman" w:eastAsia="宋体" w:cs="Times New Roman"/>
          <w:b w:val="0"/>
          <w:bCs w:val="0"/>
          <w:lang w:val="en-US" w:eastAsia="zh-CN"/>
        </w:rPr>
      </w:pPr>
    </w:p>
    <w:p>
      <w:pPr>
        <w:widowControl/>
        <w:jc w:val="left"/>
        <w:rPr>
          <w:rFonts w:hint="eastAsia" w:cs="Times New Roman"/>
          <w:b w:val="0"/>
          <w:bCs w:val="0"/>
          <w:lang w:val="en-US" w:eastAsia="zh-CN"/>
        </w:rPr>
      </w:pPr>
    </w:p>
    <w:p>
      <w:pPr>
        <w:widowControl/>
        <w:jc w:val="left"/>
        <w:rPr>
          <w:rFonts w:hint="eastAsia" w:cs="Times New Roman"/>
          <w:b w:val="0"/>
          <w:bCs w:val="0"/>
          <w:lang w:val="en-US" w:eastAsia="zh-CN"/>
        </w:rPr>
      </w:pPr>
      <w:r>
        <w:rPr>
          <w:rFonts w:hint="eastAsia" w:cs="Times New Roman"/>
          <w:b w:val="0"/>
          <w:bCs w:val="0"/>
          <w:lang w:val="en-US" w:eastAsia="zh-CN"/>
        </w:rPr>
        <w:t xml:space="preserve">In addition, the conducted transmission power per sub-array is assumed to be same as that of low frequency range in the above table, however indeed the actual transmission power per front-end PA will decrease with the increasing operating frequency due to the breaking voltage trends. </w:t>
      </w:r>
    </w:p>
    <w:p>
      <w:pPr>
        <w:widowControl/>
        <w:jc w:val="left"/>
        <w:rPr>
          <w:rFonts w:hint="eastAsia" w:cs="Times New Roman"/>
          <w:b w:val="0"/>
          <w:bCs w:val="0"/>
          <w:lang w:val="en-US" w:eastAsia="zh-CN"/>
        </w:rPr>
      </w:pPr>
      <w:r>
        <w:rPr>
          <w:rFonts w:hint="eastAsia" w:cs="Times New Roman"/>
          <w:b/>
          <w:bCs/>
          <w:lang w:val="en-US" w:eastAsia="zh-CN"/>
        </w:rPr>
        <w:t>Proposal 1</w:t>
      </w:r>
      <w:r>
        <w:rPr>
          <w:rFonts w:hint="eastAsia" w:cs="Times New Roman"/>
          <w:b w:val="0"/>
          <w:bCs w:val="0"/>
          <w:lang w:val="en-US" w:eastAsia="zh-CN"/>
        </w:rPr>
        <w:t xml:space="preserve">: use the antenna array assumption in Table 2.1.1 and Table 2.1.2 with the transmission power per sub-array </w:t>
      </w:r>
    </w:p>
    <w:p>
      <w:pPr>
        <w:widowControl/>
        <w:jc w:val="left"/>
        <w:rPr>
          <w:rFonts w:hint="default" w:cs="Times New Roman"/>
          <w:b w:val="0"/>
          <w:bCs w:val="0"/>
          <w:lang w:val="en-US" w:eastAsia="zh-CN"/>
        </w:rPr>
      </w:pPr>
      <w:r>
        <w:rPr>
          <w:rFonts w:hint="eastAsia" w:cs="Times New Roman"/>
          <w:b w:val="0"/>
          <w:bCs w:val="0"/>
          <w:lang w:val="en-US" w:eastAsia="zh-CN"/>
        </w:rPr>
        <w:t>In last RAN4 meeting, there were some discussions on Rx number of FR1 like UE operating at 15GHz, e.g. 4Rx, or 6Rx or 8Rx, at least from our understanding, we didn</w:t>
      </w:r>
      <w:r>
        <w:rPr>
          <w:rFonts w:hint="default" w:cs="Times New Roman"/>
          <w:b w:val="0"/>
          <w:bCs w:val="0"/>
          <w:lang w:val="en-US" w:eastAsia="zh-CN"/>
        </w:rPr>
        <w:t>’</w:t>
      </w:r>
      <w:r>
        <w:rPr>
          <w:rFonts w:hint="eastAsia" w:cs="Times New Roman"/>
          <w:b w:val="0"/>
          <w:bCs w:val="0"/>
          <w:lang w:val="en-US" w:eastAsia="zh-CN"/>
        </w:rPr>
        <w:t>t consider the Rx number of FR1 UE in past in the coexistence study and we don</w:t>
      </w:r>
      <w:r>
        <w:rPr>
          <w:rFonts w:hint="default" w:cs="Times New Roman"/>
          <w:b w:val="0"/>
          <w:bCs w:val="0"/>
          <w:lang w:val="en-US" w:eastAsia="zh-CN"/>
        </w:rPr>
        <w:t>’</w:t>
      </w:r>
      <w:r>
        <w:rPr>
          <w:rFonts w:hint="eastAsia" w:cs="Times New Roman"/>
          <w:b w:val="0"/>
          <w:bCs w:val="0"/>
          <w:lang w:val="en-US" w:eastAsia="zh-CN"/>
        </w:rPr>
        <w:t>t see the reasons or motivations to have such kind of assumptions to be implemented in the platform. 4Rx or 8Rx number per UE should be useful information from RAN1 dynamic SLS evaluation according to the MIMO metrics, however in RAN4 coexistence study, we don</w:t>
      </w:r>
      <w:r>
        <w:rPr>
          <w:rFonts w:hint="default" w:cs="Times New Roman"/>
          <w:b w:val="0"/>
          <w:bCs w:val="0"/>
          <w:lang w:val="en-US" w:eastAsia="zh-CN"/>
        </w:rPr>
        <w:t>’</w:t>
      </w:r>
      <w:r>
        <w:rPr>
          <w:rFonts w:hint="eastAsia" w:cs="Times New Roman"/>
          <w:b w:val="0"/>
          <w:bCs w:val="0"/>
          <w:lang w:val="en-US" w:eastAsia="zh-CN"/>
        </w:rPr>
        <w:t>t need to consider the MIMO metrics in RAN4 static SLS evaluation. In short, we propose to follow the legacy approach and do not consider the Rx number from UE perspective in RAN4 SLS coexistence evaluation.</w:t>
      </w:r>
    </w:p>
    <w:p>
      <w:pPr>
        <w:widowControl/>
        <w:jc w:val="left"/>
        <w:rPr>
          <w:rFonts w:hint="default" w:cs="Times New Roman"/>
          <w:b w:val="0"/>
          <w:bCs w:val="0"/>
          <w:lang w:val="en-US" w:eastAsia="zh-CN"/>
        </w:rPr>
      </w:pPr>
      <w:r>
        <w:rPr>
          <w:rFonts w:hint="eastAsia" w:cs="Times New Roman"/>
          <w:b/>
          <w:bCs/>
          <w:lang w:val="en-US" w:eastAsia="zh-CN"/>
        </w:rPr>
        <w:t>Proposal 2</w:t>
      </w:r>
      <w:r>
        <w:rPr>
          <w:rFonts w:hint="eastAsia" w:cs="Times New Roman"/>
          <w:b w:val="0"/>
          <w:bCs w:val="0"/>
          <w:lang w:val="en-US" w:eastAsia="zh-CN"/>
        </w:rPr>
        <w:t xml:space="preserve">: follow the legacy approach and do not consider the Rx number from UE perspective in RAN4 SLS coexistence evaluation. </w:t>
      </w:r>
    </w:p>
    <w:p>
      <w:pPr>
        <w:jc w:val="left"/>
        <w:outlineLvl w:val="1"/>
        <w:rPr>
          <w:rFonts w:hint="default" w:ascii="Arial" w:hAnsi="Arial" w:eastAsia="宋体" w:cs="Arial"/>
          <w:sz w:val="28"/>
          <w:szCs w:val="28"/>
          <w:lang w:val="en-US" w:eastAsia="zh-CN"/>
        </w:rPr>
      </w:pPr>
      <w:r>
        <w:rPr>
          <w:rFonts w:hint="eastAsia" w:ascii="Arial" w:hAnsi="Arial" w:eastAsia="宋体" w:cs="Arial"/>
          <w:sz w:val="28"/>
          <w:szCs w:val="28"/>
          <w:lang w:val="en-US" w:eastAsia="zh-CN"/>
        </w:rPr>
        <w:t>2.2.Evaluation results</w:t>
      </w:r>
    </w:p>
    <w:p>
      <w:pPr>
        <w:keepNext w:val="0"/>
        <w:keepLines w:val="0"/>
        <w:pageBreakBefore w:val="0"/>
        <w:widowControl w:val="0"/>
        <w:kinsoku/>
        <w:wordWrap/>
        <w:overflowPunct/>
        <w:topLinePunct w:val="0"/>
        <w:autoSpaceDE/>
        <w:autoSpaceDN/>
        <w:bidi w:val="0"/>
        <w:adjustRightInd/>
        <w:snapToGrid/>
        <w:spacing w:line="260" w:lineRule="auto"/>
        <w:jc w:val="left"/>
        <w:textAlignment w:val="auto"/>
        <w:outlineLvl w:val="2"/>
        <w:rPr>
          <w:rFonts w:hint="eastAsia" w:ascii="Arial" w:hAnsi="Arial"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lang w:val="en-US" w:eastAsia="zh-CN"/>
        </w:rPr>
        <w:t>1.</w:t>
      </w:r>
      <w:r>
        <w:rPr>
          <w:rFonts w:hint="eastAsia" w:ascii="Arial" w:hAnsi="Arial" w:cs="Arial"/>
          <w:sz w:val="28"/>
          <w:szCs w:val="28"/>
        </w:rPr>
        <w:t xml:space="preserve"> </w:t>
      </w:r>
      <w:r>
        <w:rPr>
          <w:rFonts w:hint="eastAsia" w:ascii="Arial" w:hAnsi="Arial" w:cs="Arial"/>
          <w:sz w:val="28"/>
          <w:szCs w:val="28"/>
          <w:lang w:val="en-US" w:eastAsia="zh-CN"/>
        </w:rPr>
        <w:t>Urban macro</w:t>
      </w:r>
    </w:p>
    <w:p>
      <w:pPr>
        <w:widowControl/>
        <w:jc w:val="left"/>
        <w:rPr>
          <w:rFonts w:hint="default"/>
          <w:highlight w:val="none"/>
          <w:lang w:val="en-US"/>
        </w:rPr>
      </w:pPr>
      <w:r>
        <w:rPr>
          <w:rFonts w:hint="eastAsia" w:cs="Times New Roman"/>
          <w:b w:val="0"/>
          <w:bCs w:val="0"/>
          <w:lang w:val="en-US" w:eastAsia="zh-CN"/>
        </w:rPr>
        <w:t xml:space="preserve">In the following sections, we provide some initial coexistence simulation results based on FR1 like UE type assumption and BS with fully digital beamforming and sub-array based beamforming assumption.  </w:t>
      </w:r>
    </w:p>
    <w:p>
      <w:pPr>
        <w:widowControl/>
        <w:jc w:val="left"/>
        <w:rPr>
          <w:rFonts w:hint="eastAsia"/>
          <w:lang w:val="en-US" w:eastAsia="zh-CN"/>
        </w:rPr>
      </w:pPr>
      <w:r>
        <w:rPr>
          <w:rFonts w:hint="eastAsia" w:cs="Times New Roman"/>
          <w:b/>
          <w:bCs/>
          <w:lang w:val="en-US" w:eastAsia="zh-CN"/>
        </w:rPr>
        <w:t>FR1 like UE assumption: 23dBm</w:t>
      </w:r>
      <w:r>
        <w:rPr>
          <w:rFonts w:hint="eastAsia"/>
          <w:b/>
          <w:bCs/>
          <w:lang w:val="en-US" w:eastAsia="zh-CN"/>
        </w:rPr>
        <w:t xml:space="preserve"> </w:t>
      </w:r>
      <w:r>
        <w:rPr>
          <w:rFonts w:hint="eastAsia"/>
          <w:lang w:val="en-US" w:eastAsia="zh-CN"/>
        </w:rPr>
        <w:t xml:space="preserve">  </w:t>
      </w:r>
    </w:p>
    <w:p>
      <w:pPr>
        <w:pStyle w:val="47"/>
        <w:rPr>
          <w:rFonts w:hint="default" w:eastAsia="宋体"/>
          <w:lang w:val="en-US" w:eastAsia="zh-CN"/>
        </w:rPr>
      </w:pPr>
      <w:r>
        <w:rPr>
          <w:rFonts w:hint="eastAsia"/>
          <w:lang w:val="en-US" w:eastAsia="zh-CN"/>
        </w:rPr>
        <w:t>Table 2.2.1-2.D</w:t>
      </w:r>
      <w:r>
        <w:rPr>
          <w:rFonts w:hint="eastAsia"/>
          <w:lang w:val="en-US"/>
        </w:rPr>
        <w:t>L</w:t>
      </w:r>
      <w:r>
        <w:t xml:space="preserve"> throughput loss of victim </w:t>
      </w:r>
      <w:r>
        <w:rPr>
          <w:rFonts w:hint="eastAsia"/>
          <w:lang w:val="en-US"/>
        </w:rPr>
        <w:t xml:space="preserve">BS for </w:t>
      </w:r>
      <w:r>
        <w:rPr>
          <w:rFonts w:hint="eastAsia"/>
          <w:lang w:val="en-US" w:eastAsia="en-US"/>
        </w:rPr>
        <w:t>14800 to 15350 MHz</w:t>
      </w:r>
      <w:r>
        <w:rPr>
          <w:rFonts w:hint="eastAsia"/>
          <w:lang w:val="en-US" w:eastAsia="zh-CN"/>
        </w:rPr>
        <w:t xml:space="preserve"> </w:t>
      </w:r>
      <w:r>
        <w:rPr>
          <w:rFonts w:hint="eastAsia"/>
          <w:lang w:val="en-US"/>
        </w:rPr>
        <w:t>[Relative ACIR value</w:t>
      </w:r>
      <w:r>
        <w:rPr>
          <w:rFonts w:hint="eastAsia"/>
          <w:lang w:val="en-US" w:eastAsia="zh-CN"/>
        </w:rPr>
        <w:t>, ACLR=45dBc, ACS=33dBc</w:t>
      </w:r>
      <w:r>
        <w:rPr>
          <w:rFonts w:hint="eastAsia"/>
          <w:lang w:val="en-US"/>
        </w:rPr>
        <w:t>]</w:t>
      </w:r>
      <w:r>
        <w:rPr>
          <w:rFonts w:hint="eastAsia"/>
          <w:lang w:val="en-US" w:eastAsia="zh-CN"/>
        </w:rPr>
        <w:t xml:space="preserve"> [non-colocated]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755"/>
        <w:gridCol w:w="3199"/>
        <w:gridCol w:w="607"/>
        <w:gridCol w:w="607"/>
        <w:gridCol w:w="607"/>
        <w:gridCol w:w="607"/>
        <w:gridCol w:w="607"/>
        <w:gridCol w:w="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7"/>
              <w:suppressLineNumbers w:val="0"/>
              <w:spacing w:before="0" w:beforeAutospacing="0" w:afterAutospacing="0"/>
              <w:ind w:left="0" w:right="0"/>
              <w:rPr>
                <w:rFonts w:hint="default"/>
                <w:lang w:val="en-US" w:eastAsia="zh-CN"/>
              </w:rPr>
            </w:pPr>
            <w:r>
              <w:rPr>
                <w:rFonts w:hint="eastAsia"/>
                <w:lang w:val="en-US" w:eastAsia="zh-CN"/>
              </w:rPr>
              <w:t xml:space="preserve">Antenna configuration  </w:t>
            </w:r>
          </w:p>
        </w:tc>
        <w:tc>
          <w:tcPr>
            <w:tcW w:w="1802" w:type="dxa"/>
            <w:vMerge w:val="restart"/>
            <w:vAlign w:val="center"/>
          </w:tcPr>
          <w:p>
            <w:pPr>
              <w:pStyle w:val="37"/>
              <w:suppressLineNumbers w:val="0"/>
              <w:spacing w:before="0" w:beforeAutospacing="0" w:afterAutospacing="0"/>
              <w:ind w:left="0" w:right="0"/>
              <w:rPr>
                <w:rFonts w:hint="default"/>
                <w:lang w:eastAsia="zh-CN"/>
              </w:rPr>
            </w:pPr>
            <w:r>
              <w:rPr>
                <w:rFonts w:hint="eastAsia"/>
                <w:lang w:eastAsia="zh-CN"/>
              </w:rPr>
              <w:t>Simulation scenarios</w:t>
            </w:r>
          </w:p>
        </w:tc>
        <w:tc>
          <w:tcPr>
            <w:tcW w:w="0" w:type="auto"/>
            <w:vMerge w:val="restart"/>
            <w:vAlign w:val="center"/>
          </w:tcPr>
          <w:p>
            <w:pPr>
              <w:pStyle w:val="37"/>
              <w:suppressLineNumbers w:val="0"/>
              <w:spacing w:before="0" w:beforeAutospacing="0" w:afterAutospacing="0"/>
              <w:ind w:left="0" w:right="0"/>
              <w:rPr>
                <w:rFonts w:hint="default"/>
                <w:lang w:eastAsia="zh-CN"/>
              </w:rPr>
            </w:pPr>
            <w:r>
              <w:rPr>
                <w:rFonts w:hint="eastAsia"/>
                <w:lang w:eastAsia="zh-CN"/>
              </w:rPr>
              <w:t>Throughput loss</w:t>
            </w:r>
          </w:p>
        </w:tc>
        <w:tc>
          <w:tcPr>
            <w:tcW w:w="0" w:type="auto"/>
            <w:gridSpan w:val="6"/>
          </w:tcPr>
          <w:p>
            <w:pPr>
              <w:pStyle w:val="37"/>
              <w:suppressLineNumbers w:val="0"/>
              <w:spacing w:before="0" w:beforeAutospacing="0" w:afterAutospacing="0"/>
              <w:ind w:left="0" w:right="0"/>
              <w:rPr>
                <w:rFonts w:hint="default"/>
                <w:lang w:eastAsia="zh-CN"/>
              </w:rPr>
            </w:pPr>
            <w:r>
              <w:rPr>
                <w:rFonts w:hint="eastAsia"/>
                <w:lang w:eastAsia="zh-CN"/>
              </w:rPr>
              <w:t>Relative ACIR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7"/>
              <w:suppressLineNumbers w:val="0"/>
              <w:spacing w:before="0" w:beforeAutospacing="0" w:afterAutospacing="0"/>
              <w:ind w:left="0" w:right="0"/>
              <w:rPr>
                <w:rFonts w:hint="default"/>
                <w:lang w:eastAsia="zh-CN"/>
              </w:rPr>
            </w:pPr>
          </w:p>
        </w:tc>
        <w:tc>
          <w:tcPr>
            <w:tcW w:w="1802" w:type="dxa"/>
            <w:vMerge w:val="continue"/>
            <w:vAlign w:val="center"/>
          </w:tcPr>
          <w:p>
            <w:pPr>
              <w:pStyle w:val="37"/>
              <w:suppressLineNumbers w:val="0"/>
              <w:spacing w:before="0" w:beforeAutospacing="0" w:afterAutospacing="0"/>
              <w:ind w:left="0" w:right="0"/>
              <w:rPr>
                <w:rFonts w:hint="default"/>
                <w:lang w:eastAsia="zh-CN"/>
              </w:rPr>
            </w:pPr>
          </w:p>
        </w:tc>
        <w:tc>
          <w:tcPr>
            <w:tcW w:w="0" w:type="auto"/>
            <w:vMerge w:val="continue"/>
            <w:vAlign w:val="center"/>
          </w:tcPr>
          <w:p>
            <w:pPr>
              <w:pStyle w:val="37"/>
              <w:suppressLineNumbers w:val="0"/>
              <w:spacing w:before="0" w:beforeAutospacing="0" w:afterAutospacing="0"/>
              <w:ind w:left="0" w:right="0"/>
              <w:rPr>
                <w:rFonts w:hint="default"/>
                <w:lang w:eastAsia="zh-CN"/>
              </w:rPr>
            </w:pPr>
          </w:p>
        </w:tc>
        <w:tc>
          <w:tcPr>
            <w:tcW w:w="0" w:type="auto"/>
          </w:tcPr>
          <w:p>
            <w:pPr>
              <w:pStyle w:val="37"/>
              <w:suppressLineNumbers w:val="0"/>
              <w:spacing w:before="0" w:beforeAutospacing="0" w:afterAutospacing="0"/>
              <w:ind w:left="0" w:right="0"/>
              <w:rPr>
                <w:rFonts w:hint="default"/>
              </w:rPr>
            </w:pPr>
            <w:r>
              <w:rPr>
                <w:rFonts w:hint="default"/>
              </w:rPr>
              <w:t>0</w:t>
            </w:r>
          </w:p>
        </w:tc>
        <w:tc>
          <w:tcPr>
            <w:tcW w:w="0" w:type="auto"/>
          </w:tcPr>
          <w:p>
            <w:pPr>
              <w:pStyle w:val="37"/>
              <w:suppressLineNumbers w:val="0"/>
              <w:spacing w:before="0" w:beforeAutospacing="0" w:afterAutospacing="0"/>
              <w:ind w:left="0" w:right="0"/>
              <w:rPr>
                <w:rFonts w:hint="eastAsia" w:eastAsia="宋体"/>
                <w:lang w:eastAsia="zh-CN"/>
              </w:rPr>
            </w:pPr>
            <w:r>
              <w:rPr>
                <w:rFonts w:hint="default"/>
              </w:rPr>
              <w:t>-</w:t>
            </w:r>
            <w:r>
              <w:rPr>
                <w:rFonts w:hint="eastAsia" w:eastAsia="宋体"/>
                <w:lang w:val="en-US" w:eastAsia="zh-CN"/>
              </w:rPr>
              <w:t>2</w:t>
            </w:r>
          </w:p>
        </w:tc>
        <w:tc>
          <w:tcPr>
            <w:tcW w:w="0" w:type="auto"/>
          </w:tcPr>
          <w:p>
            <w:pPr>
              <w:pStyle w:val="37"/>
              <w:suppressLineNumbers w:val="0"/>
              <w:spacing w:before="0" w:beforeAutospacing="0" w:afterAutospacing="0"/>
              <w:ind w:left="0" w:right="0"/>
              <w:rPr>
                <w:rFonts w:hint="eastAsia" w:eastAsia="宋体"/>
                <w:lang w:eastAsia="zh-CN"/>
              </w:rPr>
            </w:pPr>
            <w:r>
              <w:rPr>
                <w:rFonts w:hint="default"/>
              </w:rPr>
              <w:t>-</w:t>
            </w:r>
            <w:r>
              <w:rPr>
                <w:rFonts w:hint="eastAsia" w:eastAsia="宋体"/>
                <w:lang w:val="en-US" w:eastAsia="zh-CN"/>
              </w:rPr>
              <w:t>4</w:t>
            </w:r>
          </w:p>
        </w:tc>
        <w:tc>
          <w:tcPr>
            <w:tcW w:w="0" w:type="auto"/>
          </w:tcPr>
          <w:p>
            <w:pPr>
              <w:pStyle w:val="37"/>
              <w:suppressLineNumbers w:val="0"/>
              <w:spacing w:before="0" w:beforeAutospacing="0" w:afterAutospacing="0"/>
              <w:ind w:left="0" w:right="0"/>
              <w:rPr>
                <w:rFonts w:hint="eastAsia" w:eastAsia="宋体"/>
                <w:lang w:eastAsia="zh-CN"/>
              </w:rPr>
            </w:pPr>
            <w:r>
              <w:rPr>
                <w:rFonts w:hint="default"/>
              </w:rPr>
              <w:t>-</w:t>
            </w:r>
            <w:r>
              <w:rPr>
                <w:rFonts w:hint="eastAsia" w:eastAsia="宋体"/>
                <w:lang w:val="en-US" w:eastAsia="zh-CN"/>
              </w:rPr>
              <w:t>6</w:t>
            </w:r>
          </w:p>
        </w:tc>
        <w:tc>
          <w:tcPr>
            <w:tcW w:w="0" w:type="auto"/>
          </w:tcPr>
          <w:p>
            <w:pPr>
              <w:pStyle w:val="37"/>
              <w:suppressLineNumbers w:val="0"/>
              <w:spacing w:before="0" w:beforeAutospacing="0" w:afterAutospacing="0"/>
              <w:ind w:left="0" w:right="0"/>
              <w:rPr>
                <w:rFonts w:hint="eastAsia" w:eastAsia="宋体"/>
                <w:lang w:eastAsia="zh-CN"/>
              </w:rPr>
            </w:pPr>
            <w:r>
              <w:rPr>
                <w:rFonts w:hint="default"/>
              </w:rPr>
              <w:t>-</w:t>
            </w:r>
            <w:r>
              <w:rPr>
                <w:rFonts w:hint="eastAsia" w:eastAsia="宋体"/>
                <w:lang w:val="en-US" w:eastAsia="zh-CN"/>
              </w:rPr>
              <w:t>8</w:t>
            </w:r>
          </w:p>
        </w:tc>
        <w:tc>
          <w:tcPr>
            <w:tcW w:w="0" w:type="auto"/>
          </w:tcPr>
          <w:p>
            <w:pPr>
              <w:pStyle w:val="37"/>
              <w:suppressLineNumbers w:val="0"/>
              <w:spacing w:before="0" w:beforeAutospacing="0" w:afterAutospacing="0"/>
              <w:ind w:left="0" w:right="0"/>
              <w:rPr>
                <w:rFonts w:hint="default" w:eastAsia="宋体"/>
                <w:lang w:val="en-US" w:eastAsia="zh-CN"/>
              </w:rPr>
            </w:pPr>
            <w:r>
              <w:rPr>
                <w:rFonts w:hint="default"/>
              </w:rPr>
              <w:t>-</w:t>
            </w:r>
            <w:r>
              <w:rPr>
                <w:rFonts w:hint="eastAsia"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8"/>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1536 (20% indoor, 450m)</w:t>
            </w:r>
          </w:p>
        </w:tc>
        <w:tc>
          <w:tcPr>
            <w:tcW w:w="1802" w:type="dxa"/>
            <w:vMerge w:val="restart"/>
            <w:vAlign w:val="center"/>
          </w:tcPr>
          <w:p>
            <w:pPr>
              <w:pStyle w:val="38"/>
              <w:suppressLineNumbers w:val="0"/>
              <w:spacing w:before="0" w:beforeAutospacing="0" w:afterAutospacing="0"/>
              <w:ind w:left="0" w:right="0"/>
              <w:rPr>
                <w:rFonts w:hint="default" w:cs="Arial"/>
                <w:szCs w:val="18"/>
                <w:lang w:eastAsia="zh-CN"/>
              </w:rPr>
            </w:pPr>
            <w:r>
              <w:rPr>
                <w:rFonts w:hint="default" w:cs="Arial"/>
                <w:szCs w:val="18"/>
                <w:lang w:eastAsia="zh-CN"/>
              </w:rPr>
              <w:t>AAS based BS</w:t>
            </w:r>
          </w:p>
        </w:tc>
        <w:tc>
          <w:tcPr>
            <w:tcW w:w="0" w:type="auto"/>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Average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31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0.32</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0.41</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0.51</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0.65</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highlight w:val="yellow"/>
              </w:rPr>
            </w:pPr>
            <w:r>
              <w:rPr>
                <w:rFonts w:hint="default" w:ascii="Calibri" w:hAnsi="Calibri" w:eastAsia="宋体" w:cs="Calibri"/>
                <w:i w:val="0"/>
                <w:iCs w:val="0"/>
                <w:color w:val="000000"/>
                <w:kern w:val="0"/>
                <w:sz w:val="22"/>
                <w:szCs w:val="22"/>
                <w:highlight w:val="yellow"/>
                <w:u w:val="none"/>
                <w:lang w:val="en-US" w:eastAsia="zh-CN" w:bidi="ar"/>
              </w:rPr>
              <w:t>0.83</w:t>
            </w:r>
          </w:p>
        </w:tc>
        <w:tc>
          <w:tcPr>
            <w:tcW w:w="4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8"/>
              <w:suppressLineNumbers w:val="0"/>
              <w:spacing w:before="0" w:beforeAutospacing="0" w:afterAutospacing="0"/>
              <w:ind w:left="0" w:right="0"/>
              <w:rPr>
                <w:rFonts w:hint="default" w:cs="Arial"/>
                <w:szCs w:val="18"/>
              </w:rPr>
            </w:pPr>
          </w:p>
        </w:tc>
        <w:tc>
          <w:tcPr>
            <w:tcW w:w="1802" w:type="dxa"/>
            <w:vMerge w:val="continue"/>
            <w:vAlign w:val="center"/>
          </w:tcPr>
          <w:p>
            <w:pPr>
              <w:pStyle w:val="38"/>
              <w:suppressLineNumbers w:val="0"/>
              <w:spacing w:before="0" w:beforeAutospacing="0" w:afterAutospacing="0"/>
              <w:ind w:left="0" w:right="0"/>
              <w:rPr>
                <w:rFonts w:hint="default" w:cs="Arial"/>
                <w:szCs w:val="18"/>
              </w:rPr>
            </w:pPr>
          </w:p>
        </w:tc>
        <w:tc>
          <w:tcPr>
            <w:tcW w:w="0" w:type="auto"/>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5%-tile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31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2.22</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2.67</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3.27</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3.70</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highlight w:val="yellow"/>
              </w:rPr>
            </w:pPr>
            <w:r>
              <w:rPr>
                <w:rFonts w:hint="default" w:ascii="Calibri" w:hAnsi="Calibri" w:eastAsia="宋体" w:cs="Calibri"/>
                <w:i w:val="0"/>
                <w:iCs w:val="0"/>
                <w:color w:val="000000"/>
                <w:kern w:val="0"/>
                <w:sz w:val="22"/>
                <w:szCs w:val="22"/>
                <w:highlight w:val="yellow"/>
                <w:u w:val="none"/>
                <w:lang w:val="en-US" w:eastAsia="zh-CN" w:bidi="ar"/>
              </w:rPr>
              <w:t>5.44</w:t>
            </w:r>
          </w:p>
        </w:tc>
        <w:tc>
          <w:tcPr>
            <w:tcW w:w="4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366" w:type="dxa"/>
            <w:vMerge w:val="restart"/>
            <w:vAlign w:val="center"/>
          </w:tcPr>
          <w:p>
            <w:pPr>
              <w:pStyle w:val="38"/>
              <w:suppressLineNumbers w:val="0"/>
              <w:spacing w:before="0" w:beforeAutospacing="0" w:afterAutospacing="0"/>
              <w:ind w:left="0" w:right="0"/>
              <w:rPr>
                <w:rFonts w:hint="default" w:cs="Arial"/>
                <w:szCs w:val="18"/>
                <w:lang w:val="en-US"/>
              </w:rPr>
            </w:pPr>
            <w:r>
              <w:rPr>
                <w:rFonts w:hint="eastAsia" w:cs="Arial"/>
                <w:szCs w:val="18"/>
                <w:lang w:val="en-US" w:eastAsia="zh-CN"/>
              </w:rPr>
              <w:t>2048 (20% indoor, 450m)</w:t>
            </w:r>
          </w:p>
        </w:tc>
        <w:tc>
          <w:tcPr>
            <w:tcW w:w="1802" w:type="dxa"/>
            <w:vMerge w:val="restart"/>
            <w:vAlign w:val="center"/>
          </w:tcPr>
          <w:p>
            <w:pPr>
              <w:pStyle w:val="38"/>
              <w:suppressLineNumbers w:val="0"/>
              <w:spacing w:before="0" w:beforeAutospacing="0" w:afterAutospacing="0"/>
              <w:ind w:left="0" w:right="0"/>
              <w:rPr>
                <w:rFonts w:hint="default" w:cs="Arial"/>
                <w:szCs w:val="18"/>
              </w:rPr>
            </w:pPr>
            <w:r>
              <w:rPr>
                <w:rFonts w:hint="default" w:cs="Arial"/>
                <w:szCs w:val="18"/>
                <w:lang w:eastAsia="zh-CN"/>
              </w:rPr>
              <w:t>AAS based BS</w:t>
            </w:r>
          </w:p>
        </w:tc>
        <w:tc>
          <w:tcPr>
            <w:tcW w:w="3348"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Average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31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0.28</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0.35</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0.43</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0.54</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0.69</w:t>
            </w:r>
          </w:p>
        </w:tc>
        <w:tc>
          <w:tcPr>
            <w:tcW w:w="4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8"/>
              <w:suppressLineNumbers w:val="0"/>
              <w:spacing w:before="0" w:beforeAutospacing="0" w:afterAutospacing="0"/>
              <w:ind w:left="0" w:right="0"/>
              <w:rPr>
                <w:rFonts w:hint="default" w:cs="Arial"/>
                <w:szCs w:val="18"/>
              </w:rPr>
            </w:pPr>
          </w:p>
        </w:tc>
        <w:tc>
          <w:tcPr>
            <w:tcW w:w="1802" w:type="dxa"/>
            <w:vMerge w:val="continue"/>
            <w:vAlign w:val="center"/>
          </w:tcPr>
          <w:p>
            <w:pPr>
              <w:pStyle w:val="38"/>
              <w:suppressLineNumbers w:val="0"/>
              <w:spacing w:before="0" w:beforeAutospacing="0" w:afterAutospacing="0"/>
              <w:ind w:left="0" w:right="0"/>
              <w:rPr>
                <w:rFonts w:hint="default" w:cs="Arial"/>
                <w:szCs w:val="18"/>
              </w:rPr>
            </w:pPr>
          </w:p>
        </w:tc>
        <w:tc>
          <w:tcPr>
            <w:tcW w:w="3348"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5%-tile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31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1.65</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1.94</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2.18</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3.25</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3.63</w:t>
            </w:r>
          </w:p>
        </w:tc>
        <w:tc>
          <w:tcPr>
            <w:tcW w:w="4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4.53</w:t>
            </w:r>
          </w:p>
        </w:tc>
      </w:tr>
    </w:tbl>
    <w:p>
      <w:pPr>
        <w:widowControl/>
        <w:jc w:val="both"/>
        <w:rPr>
          <w:rFonts w:hint="eastAsia"/>
          <w:lang w:val="en-US" w:eastAsia="zh-CN"/>
        </w:rPr>
      </w:pPr>
    </w:p>
    <w:p>
      <w:pPr>
        <w:widowControl/>
        <w:jc w:val="both"/>
        <w:rPr>
          <w:rFonts w:hint="eastAsia"/>
          <w:lang w:val="en-US" w:eastAsia="zh-CN"/>
        </w:rPr>
      </w:pPr>
      <w:r>
        <w:rPr>
          <w:rFonts w:hint="eastAsia"/>
          <w:b/>
          <w:bCs/>
          <w:lang w:val="en-US" w:eastAsia="zh-CN"/>
        </w:rPr>
        <w:t>Observation 1</w:t>
      </w:r>
      <w:r>
        <w:rPr>
          <w:rFonts w:hint="eastAsia"/>
          <w:lang w:val="en-US" w:eastAsia="zh-CN"/>
        </w:rPr>
        <w:t>: based on the FR1 like UE assumption, then DL ACIR requirement could be relaxed around 8dB in Urban macro scenario.</w:t>
      </w:r>
    </w:p>
    <w:p>
      <w:pPr>
        <w:pStyle w:val="47"/>
        <w:rPr>
          <w:rFonts w:hint="eastAsia" w:eastAsia="宋体"/>
          <w:lang w:val="en-US" w:eastAsia="zh-CN"/>
        </w:rPr>
      </w:pPr>
      <w:r>
        <w:rPr>
          <w:rFonts w:hint="eastAsia"/>
          <w:lang w:val="en-US" w:eastAsia="zh-CN"/>
        </w:rPr>
        <w:t>Table 2.2.1-3.U</w:t>
      </w:r>
      <w:r>
        <w:rPr>
          <w:rFonts w:hint="eastAsia"/>
          <w:lang w:val="en-US"/>
        </w:rPr>
        <w:t>L</w:t>
      </w:r>
      <w:r>
        <w:t xml:space="preserve"> throughput loss of victim </w:t>
      </w:r>
      <w:r>
        <w:rPr>
          <w:rFonts w:hint="eastAsia"/>
          <w:lang w:val="en-US"/>
        </w:rPr>
        <w:t xml:space="preserve">BS for </w:t>
      </w:r>
      <w:r>
        <w:rPr>
          <w:rFonts w:hint="eastAsia"/>
          <w:lang w:val="en-US" w:eastAsia="en-US"/>
        </w:rPr>
        <w:t>14800 to 15350 MHz</w:t>
      </w:r>
      <w:r>
        <w:rPr>
          <w:rFonts w:hint="eastAsia"/>
          <w:lang w:val="en-US" w:eastAsia="zh-CN"/>
        </w:rPr>
        <w:t xml:space="preserve"> </w:t>
      </w:r>
      <w:r>
        <w:rPr>
          <w:rFonts w:hint="eastAsia"/>
          <w:lang w:val="en-US"/>
        </w:rPr>
        <w:t>[Relative ACIR value</w:t>
      </w:r>
      <w:r>
        <w:rPr>
          <w:rFonts w:hint="eastAsia"/>
          <w:lang w:val="en-US" w:eastAsia="zh-CN"/>
        </w:rPr>
        <w:t>,ACLR=30dBc, ACS=46dBc</w:t>
      </w:r>
      <w:r>
        <w:rPr>
          <w:rFonts w:hint="eastAsia"/>
          <w:lang w:val="en-US"/>
        </w:rPr>
        <w:t>]</w:t>
      </w:r>
      <w:r>
        <w:rPr>
          <w:rFonts w:hint="eastAsia"/>
          <w:lang w:val="en-US" w:eastAsia="zh-CN"/>
        </w:rPr>
        <w:t xml:space="preserve"> [non-co-located]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597"/>
        <w:gridCol w:w="2913"/>
        <w:gridCol w:w="607"/>
        <w:gridCol w:w="607"/>
        <w:gridCol w:w="718"/>
        <w:gridCol w:w="718"/>
        <w:gridCol w:w="718"/>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7"/>
              <w:suppressLineNumbers w:val="0"/>
              <w:spacing w:before="0" w:beforeAutospacing="0" w:afterAutospacing="0"/>
              <w:ind w:left="0" w:right="0"/>
              <w:rPr>
                <w:rFonts w:hint="default"/>
                <w:lang w:eastAsia="zh-CN"/>
              </w:rPr>
            </w:pPr>
            <w:r>
              <w:rPr>
                <w:rFonts w:hint="eastAsia"/>
                <w:lang w:val="en-US" w:eastAsia="zh-CN"/>
              </w:rPr>
              <w:t>Antenna configuration</w:t>
            </w:r>
          </w:p>
        </w:tc>
        <w:tc>
          <w:tcPr>
            <w:tcW w:w="1620" w:type="dxa"/>
            <w:vMerge w:val="restart"/>
            <w:vAlign w:val="center"/>
          </w:tcPr>
          <w:p>
            <w:pPr>
              <w:pStyle w:val="37"/>
              <w:suppressLineNumbers w:val="0"/>
              <w:spacing w:before="0" w:beforeAutospacing="0" w:afterAutospacing="0"/>
              <w:ind w:left="0" w:right="0"/>
              <w:rPr>
                <w:rFonts w:hint="default"/>
                <w:lang w:eastAsia="zh-CN"/>
              </w:rPr>
            </w:pPr>
            <w:r>
              <w:rPr>
                <w:rFonts w:hint="eastAsia"/>
                <w:lang w:eastAsia="zh-CN"/>
              </w:rPr>
              <w:t>Simulation scenarios</w:t>
            </w:r>
          </w:p>
        </w:tc>
        <w:tc>
          <w:tcPr>
            <w:tcW w:w="2999" w:type="dxa"/>
            <w:vMerge w:val="restart"/>
            <w:vAlign w:val="center"/>
          </w:tcPr>
          <w:p>
            <w:pPr>
              <w:pStyle w:val="37"/>
              <w:suppressLineNumbers w:val="0"/>
              <w:spacing w:before="0" w:beforeAutospacing="0" w:afterAutospacing="0"/>
              <w:ind w:left="0" w:right="0"/>
              <w:rPr>
                <w:rFonts w:hint="default"/>
                <w:lang w:eastAsia="zh-CN"/>
              </w:rPr>
            </w:pPr>
            <w:r>
              <w:rPr>
                <w:rFonts w:hint="eastAsia"/>
                <w:lang w:eastAsia="zh-CN"/>
              </w:rPr>
              <w:t>Throughput loss</w:t>
            </w:r>
          </w:p>
        </w:tc>
        <w:tc>
          <w:tcPr>
            <w:tcW w:w="3975" w:type="dxa"/>
            <w:gridSpan w:val="6"/>
          </w:tcPr>
          <w:p>
            <w:pPr>
              <w:pStyle w:val="37"/>
              <w:suppressLineNumbers w:val="0"/>
              <w:spacing w:before="0" w:beforeAutospacing="0" w:afterAutospacing="0"/>
              <w:ind w:left="0" w:right="0"/>
              <w:rPr>
                <w:rFonts w:hint="default"/>
                <w:lang w:eastAsia="zh-CN"/>
              </w:rPr>
            </w:pPr>
            <w:r>
              <w:rPr>
                <w:rFonts w:hint="eastAsia"/>
                <w:lang w:eastAsia="zh-CN"/>
              </w:rPr>
              <w:t>Relative ACIR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7"/>
              <w:suppressLineNumbers w:val="0"/>
              <w:spacing w:before="0" w:beforeAutospacing="0" w:afterAutospacing="0"/>
              <w:ind w:left="0" w:right="0"/>
              <w:rPr>
                <w:rFonts w:hint="default"/>
                <w:lang w:eastAsia="zh-CN"/>
              </w:rPr>
            </w:pPr>
          </w:p>
        </w:tc>
        <w:tc>
          <w:tcPr>
            <w:tcW w:w="1620" w:type="dxa"/>
            <w:vMerge w:val="continue"/>
            <w:vAlign w:val="center"/>
          </w:tcPr>
          <w:p>
            <w:pPr>
              <w:pStyle w:val="37"/>
              <w:suppressLineNumbers w:val="0"/>
              <w:spacing w:before="0" w:beforeAutospacing="0" w:afterAutospacing="0"/>
              <w:ind w:left="0" w:right="0"/>
              <w:rPr>
                <w:rFonts w:hint="default"/>
                <w:lang w:eastAsia="zh-CN"/>
              </w:rPr>
            </w:pPr>
          </w:p>
        </w:tc>
        <w:tc>
          <w:tcPr>
            <w:tcW w:w="2999" w:type="dxa"/>
            <w:vMerge w:val="continue"/>
            <w:vAlign w:val="center"/>
          </w:tcPr>
          <w:p>
            <w:pPr>
              <w:pStyle w:val="37"/>
              <w:suppressLineNumbers w:val="0"/>
              <w:spacing w:before="0" w:beforeAutospacing="0" w:afterAutospacing="0"/>
              <w:ind w:left="0" w:right="0"/>
              <w:rPr>
                <w:rFonts w:hint="default"/>
                <w:lang w:eastAsia="zh-CN"/>
              </w:rPr>
            </w:pPr>
          </w:p>
        </w:tc>
        <w:tc>
          <w:tcPr>
            <w:tcW w:w="607" w:type="dxa"/>
            <w:vAlign w:val="top"/>
          </w:tcPr>
          <w:p>
            <w:pPr>
              <w:pStyle w:val="37"/>
              <w:suppressLineNumbers w:val="0"/>
              <w:spacing w:before="0" w:beforeAutospacing="0" w:afterAutospacing="0"/>
              <w:ind w:left="0" w:leftChars="0" w:right="0" w:rightChars="0"/>
              <w:rPr>
                <w:rFonts w:hint="default"/>
              </w:rPr>
            </w:pPr>
            <w:r>
              <w:rPr>
                <w:rFonts w:hint="default"/>
              </w:rPr>
              <w:t>0</w:t>
            </w:r>
          </w:p>
        </w:tc>
        <w:tc>
          <w:tcPr>
            <w:tcW w:w="607" w:type="dxa"/>
            <w:vAlign w:val="top"/>
          </w:tcPr>
          <w:p>
            <w:pPr>
              <w:pStyle w:val="37"/>
              <w:suppressLineNumbers w:val="0"/>
              <w:spacing w:before="0" w:beforeAutospacing="0" w:afterAutospacing="0"/>
              <w:ind w:left="0" w:leftChars="0" w:right="0" w:rightChars="0"/>
              <w:rPr>
                <w:rFonts w:hint="default"/>
              </w:rPr>
            </w:pPr>
            <w:r>
              <w:rPr>
                <w:rFonts w:hint="default"/>
              </w:rPr>
              <w:t>-</w:t>
            </w:r>
            <w:r>
              <w:rPr>
                <w:rFonts w:hint="eastAsia" w:eastAsia="宋体"/>
                <w:lang w:val="en-US" w:eastAsia="zh-CN"/>
              </w:rPr>
              <w:t>2</w:t>
            </w:r>
          </w:p>
        </w:tc>
        <w:tc>
          <w:tcPr>
            <w:tcW w:w="607" w:type="dxa"/>
            <w:vAlign w:val="top"/>
          </w:tcPr>
          <w:p>
            <w:pPr>
              <w:pStyle w:val="37"/>
              <w:suppressLineNumbers w:val="0"/>
              <w:spacing w:before="0" w:beforeAutospacing="0" w:afterAutospacing="0"/>
              <w:ind w:left="0" w:leftChars="0" w:right="0" w:rightChars="0"/>
              <w:rPr>
                <w:rFonts w:hint="default"/>
              </w:rPr>
            </w:pPr>
            <w:r>
              <w:rPr>
                <w:rFonts w:hint="default"/>
              </w:rPr>
              <w:t>-</w:t>
            </w:r>
            <w:r>
              <w:rPr>
                <w:rFonts w:hint="eastAsia" w:eastAsia="宋体"/>
                <w:lang w:val="en-US" w:eastAsia="zh-CN"/>
              </w:rPr>
              <w:t>4</w:t>
            </w:r>
          </w:p>
        </w:tc>
        <w:tc>
          <w:tcPr>
            <w:tcW w:w="718" w:type="dxa"/>
            <w:vAlign w:val="top"/>
          </w:tcPr>
          <w:p>
            <w:pPr>
              <w:pStyle w:val="37"/>
              <w:suppressLineNumbers w:val="0"/>
              <w:spacing w:before="0" w:beforeAutospacing="0" w:afterAutospacing="0"/>
              <w:ind w:left="0" w:leftChars="0" w:right="0" w:rightChars="0"/>
              <w:rPr>
                <w:rFonts w:hint="default"/>
              </w:rPr>
            </w:pPr>
            <w:r>
              <w:rPr>
                <w:rFonts w:hint="default"/>
              </w:rPr>
              <w:t>-</w:t>
            </w:r>
            <w:r>
              <w:rPr>
                <w:rFonts w:hint="eastAsia" w:eastAsia="宋体"/>
                <w:lang w:val="en-US" w:eastAsia="zh-CN"/>
              </w:rPr>
              <w:t>6</w:t>
            </w:r>
          </w:p>
        </w:tc>
        <w:tc>
          <w:tcPr>
            <w:tcW w:w="718" w:type="dxa"/>
            <w:vAlign w:val="top"/>
          </w:tcPr>
          <w:p>
            <w:pPr>
              <w:pStyle w:val="37"/>
              <w:suppressLineNumbers w:val="0"/>
              <w:spacing w:before="0" w:beforeAutospacing="0" w:afterAutospacing="0"/>
              <w:ind w:left="0" w:leftChars="0" w:right="0" w:rightChars="0"/>
              <w:rPr>
                <w:rFonts w:hint="default"/>
              </w:rPr>
            </w:pPr>
            <w:r>
              <w:rPr>
                <w:rFonts w:hint="default"/>
              </w:rPr>
              <w:t>-</w:t>
            </w:r>
            <w:r>
              <w:rPr>
                <w:rFonts w:hint="eastAsia" w:eastAsia="宋体"/>
                <w:lang w:val="en-US" w:eastAsia="zh-CN"/>
              </w:rPr>
              <w:t>8</w:t>
            </w:r>
          </w:p>
        </w:tc>
        <w:tc>
          <w:tcPr>
            <w:tcW w:w="718" w:type="dxa"/>
            <w:vAlign w:val="top"/>
          </w:tcPr>
          <w:p>
            <w:pPr>
              <w:pStyle w:val="37"/>
              <w:suppressLineNumbers w:val="0"/>
              <w:spacing w:before="0" w:beforeAutospacing="0" w:afterAutospacing="0"/>
              <w:ind w:left="0" w:leftChars="0" w:right="0" w:rightChars="0"/>
              <w:rPr>
                <w:rFonts w:hint="default"/>
              </w:rPr>
            </w:pPr>
            <w:r>
              <w:rPr>
                <w:rFonts w:hint="default"/>
              </w:rPr>
              <w:t>-</w:t>
            </w:r>
            <w:r>
              <w:rPr>
                <w:rFonts w:hint="eastAsia"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8"/>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1536 (20% indoor, 450m)</w:t>
            </w:r>
          </w:p>
        </w:tc>
        <w:tc>
          <w:tcPr>
            <w:tcW w:w="1620" w:type="dxa"/>
            <w:vMerge w:val="restart"/>
            <w:vAlign w:val="center"/>
          </w:tcPr>
          <w:p>
            <w:pPr>
              <w:pStyle w:val="38"/>
              <w:suppressLineNumbers w:val="0"/>
              <w:spacing w:before="0" w:beforeAutospacing="0" w:afterAutospacing="0"/>
              <w:ind w:left="0" w:right="0"/>
              <w:rPr>
                <w:rFonts w:hint="default" w:cs="Arial"/>
                <w:szCs w:val="18"/>
                <w:lang w:eastAsia="zh-CN"/>
              </w:rPr>
            </w:pPr>
            <w:r>
              <w:rPr>
                <w:rFonts w:hint="default" w:cs="Arial"/>
                <w:szCs w:val="18"/>
                <w:lang w:eastAsia="zh-CN"/>
              </w:rPr>
              <w:t>AAS based BS</w:t>
            </w:r>
          </w:p>
        </w:tc>
        <w:tc>
          <w:tcPr>
            <w:tcW w:w="2999"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Average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rPr>
            </w:pPr>
            <w:r>
              <w:rPr>
                <w:rFonts w:hint="default" w:ascii="Calibri" w:hAnsi="Calibri" w:eastAsia="宋体" w:cs="Calibri"/>
                <w:i w:val="0"/>
                <w:iCs w:val="0"/>
                <w:color w:val="000000"/>
                <w:kern w:val="0"/>
                <w:sz w:val="22"/>
                <w:szCs w:val="22"/>
                <w:u w:val="none"/>
                <w:lang w:val="en-US" w:eastAsia="zh-CN" w:bidi="ar"/>
              </w:rPr>
              <w:t>0.29</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rPr>
            </w:pPr>
            <w:r>
              <w:rPr>
                <w:rFonts w:hint="default" w:ascii="Calibri" w:hAnsi="Calibri" w:eastAsia="宋体" w:cs="Calibri"/>
                <w:i w:val="0"/>
                <w:iCs w:val="0"/>
                <w:color w:val="000000"/>
                <w:kern w:val="0"/>
                <w:sz w:val="22"/>
                <w:szCs w:val="22"/>
                <w:u w:val="none"/>
                <w:lang w:val="en-US" w:eastAsia="zh-CN" w:bidi="ar"/>
              </w:rPr>
              <w:t>0.33</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rPr>
            </w:pPr>
            <w:r>
              <w:rPr>
                <w:rFonts w:hint="default" w:ascii="Calibri" w:hAnsi="Calibri" w:eastAsia="宋体" w:cs="Calibri"/>
                <w:i w:val="0"/>
                <w:iCs w:val="0"/>
                <w:color w:val="000000"/>
                <w:kern w:val="0"/>
                <w:sz w:val="22"/>
                <w:szCs w:val="22"/>
                <w:u w:val="none"/>
                <w:lang w:val="en-US" w:eastAsia="zh-CN" w:bidi="ar"/>
              </w:rPr>
              <w:t>0.38</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rPr>
            </w:pPr>
            <w:r>
              <w:rPr>
                <w:rFonts w:hint="default" w:ascii="Calibri" w:hAnsi="Calibri" w:eastAsia="宋体" w:cs="Calibri"/>
                <w:i w:val="0"/>
                <w:iCs w:val="0"/>
                <w:color w:val="000000"/>
                <w:kern w:val="0"/>
                <w:sz w:val="22"/>
                <w:szCs w:val="22"/>
                <w:u w:val="none"/>
                <w:lang w:val="en-US" w:eastAsia="zh-CN" w:bidi="ar"/>
              </w:rPr>
              <w:t>0.44</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rPr>
            </w:pPr>
            <w:r>
              <w:rPr>
                <w:rFonts w:hint="default" w:ascii="Calibri" w:hAnsi="Calibri" w:eastAsia="宋体" w:cs="Calibri"/>
                <w:i w:val="0"/>
                <w:iCs w:val="0"/>
                <w:color w:val="000000"/>
                <w:kern w:val="0"/>
                <w:sz w:val="22"/>
                <w:szCs w:val="22"/>
                <w:u w:val="none"/>
                <w:lang w:val="en-US" w:eastAsia="zh-CN" w:bidi="ar"/>
              </w:rPr>
              <w:t>0.53</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rPr>
            </w:pPr>
            <w:r>
              <w:rPr>
                <w:rFonts w:hint="default" w:ascii="Calibri" w:hAnsi="Calibri" w:eastAsia="宋体" w:cs="Calibri"/>
                <w:i w:val="0"/>
                <w:iCs w:val="0"/>
                <w:color w:val="000000"/>
                <w:kern w:val="0"/>
                <w:sz w:val="22"/>
                <w:szCs w:val="22"/>
                <w:u w:val="none"/>
                <w:lang w:val="en-US" w:eastAsia="zh-CN" w:bidi="ar"/>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8"/>
              <w:suppressLineNumbers w:val="0"/>
              <w:spacing w:before="0" w:beforeAutospacing="0" w:afterAutospacing="0"/>
              <w:ind w:left="0" w:right="0"/>
              <w:rPr>
                <w:rFonts w:hint="default" w:cs="Arial"/>
                <w:szCs w:val="18"/>
              </w:rPr>
            </w:pPr>
          </w:p>
        </w:tc>
        <w:tc>
          <w:tcPr>
            <w:tcW w:w="1620" w:type="dxa"/>
            <w:vMerge w:val="continue"/>
            <w:vAlign w:val="center"/>
          </w:tcPr>
          <w:p>
            <w:pPr>
              <w:pStyle w:val="38"/>
              <w:suppressLineNumbers w:val="0"/>
              <w:spacing w:before="0" w:beforeAutospacing="0" w:afterAutospacing="0"/>
              <w:ind w:left="0" w:right="0"/>
              <w:rPr>
                <w:rFonts w:hint="default" w:cs="Arial"/>
                <w:szCs w:val="18"/>
              </w:rPr>
            </w:pPr>
          </w:p>
        </w:tc>
        <w:tc>
          <w:tcPr>
            <w:tcW w:w="2999"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5%-tile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rPr>
            </w:pPr>
            <w:r>
              <w:rPr>
                <w:rFonts w:hint="default" w:ascii="Calibri" w:hAnsi="Calibri" w:eastAsia="宋体" w:cs="Calibri"/>
                <w:i w:val="0"/>
                <w:iCs w:val="0"/>
                <w:color w:val="000000"/>
                <w:kern w:val="0"/>
                <w:sz w:val="22"/>
                <w:szCs w:val="22"/>
                <w:u w:val="none"/>
                <w:lang w:val="en-US" w:eastAsia="zh-CN" w:bidi="ar"/>
              </w:rPr>
              <w:t>8.47</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rPr>
            </w:pPr>
            <w:r>
              <w:rPr>
                <w:rFonts w:hint="default" w:ascii="Calibri" w:hAnsi="Calibri" w:eastAsia="宋体" w:cs="Calibri"/>
                <w:i w:val="0"/>
                <w:iCs w:val="0"/>
                <w:color w:val="000000"/>
                <w:kern w:val="0"/>
                <w:sz w:val="22"/>
                <w:szCs w:val="22"/>
                <w:u w:val="none"/>
                <w:lang w:val="en-US" w:eastAsia="zh-CN" w:bidi="ar"/>
              </w:rPr>
              <w:t>9.13</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rPr>
            </w:pPr>
            <w:r>
              <w:rPr>
                <w:rFonts w:hint="default" w:ascii="Calibri" w:hAnsi="Calibri" w:eastAsia="宋体" w:cs="Calibri"/>
                <w:i w:val="0"/>
                <w:iCs w:val="0"/>
                <w:color w:val="000000"/>
                <w:kern w:val="0"/>
                <w:sz w:val="22"/>
                <w:szCs w:val="22"/>
                <w:u w:val="none"/>
                <w:lang w:val="en-US" w:eastAsia="zh-CN" w:bidi="ar"/>
              </w:rPr>
              <w:t>10.27</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rPr>
            </w:pPr>
            <w:r>
              <w:rPr>
                <w:rFonts w:hint="default" w:ascii="Calibri" w:hAnsi="Calibri" w:eastAsia="宋体" w:cs="Calibri"/>
                <w:i w:val="0"/>
                <w:iCs w:val="0"/>
                <w:color w:val="000000"/>
                <w:kern w:val="0"/>
                <w:sz w:val="22"/>
                <w:szCs w:val="22"/>
                <w:u w:val="none"/>
                <w:lang w:val="en-US" w:eastAsia="zh-CN" w:bidi="ar"/>
              </w:rPr>
              <w:t>10.77</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rPr>
            </w:pPr>
            <w:r>
              <w:rPr>
                <w:rFonts w:hint="default" w:ascii="Calibri" w:hAnsi="Calibri" w:eastAsia="宋体" w:cs="Calibri"/>
                <w:i w:val="0"/>
                <w:iCs w:val="0"/>
                <w:color w:val="000000"/>
                <w:kern w:val="0"/>
                <w:sz w:val="22"/>
                <w:szCs w:val="22"/>
                <w:u w:val="none"/>
                <w:lang w:val="en-US" w:eastAsia="zh-CN" w:bidi="ar"/>
              </w:rPr>
              <w:t>10.78</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rPr>
            </w:pPr>
            <w:r>
              <w:rPr>
                <w:rFonts w:hint="default" w:ascii="Calibri" w:hAnsi="Calibri" w:eastAsia="宋体" w:cs="Calibri"/>
                <w:i w:val="0"/>
                <w:iCs w:val="0"/>
                <w:color w:val="000000"/>
                <w:kern w:val="0"/>
                <w:sz w:val="22"/>
                <w:szCs w:val="22"/>
                <w:u w:val="none"/>
                <w:lang w:val="en-US" w:eastAsia="zh-CN" w:bidi="ar"/>
              </w:rPr>
              <w:t>11.16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8"/>
              <w:suppressLineNumbers w:val="0"/>
              <w:spacing w:before="0" w:beforeAutospacing="0" w:afterAutospacing="0"/>
              <w:ind w:left="0" w:right="0"/>
              <w:rPr>
                <w:rFonts w:hint="default" w:cs="Arial"/>
                <w:szCs w:val="18"/>
              </w:rPr>
            </w:pPr>
            <w:r>
              <w:rPr>
                <w:rFonts w:hint="eastAsia" w:cs="Arial"/>
                <w:szCs w:val="18"/>
                <w:lang w:val="en-US" w:eastAsia="zh-CN"/>
              </w:rPr>
              <w:t>1536 (0% indoor, 450m)</w:t>
            </w:r>
          </w:p>
        </w:tc>
        <w:tc>
          <w:tcPr>
            <w:tcW w:w="1620" w:type="dxa"/>
            <w:vMerge w:val="restart"/>
            <w:vAlign w:val="center"/>
          </w:tcPr>
          <w:p>
            <w:pPr>
              <w:pStyle w:val="38"/>
              <w:suppressLineNumbers w:val="0"/>
              <w:spacing w:before="0" w:beforeAutospacing="0" w:afterAutospacing="0"/>
              <w:ind w:left="0" w:right="0"/>
              <w:rPr>
                <w:rFonts w:hint="default" w:cs="Arial"/>
                <w:szCs w:val="18"/>
              </w:rPr>
            </w:pPr>
            <w:r>
              <w:rPr>
                <w:rFonts w:hint="default" w:cs="Arial"/>
                <w:szCs w:val="18"/>
                <w:lang w:eastAsia="zh-CN"/>
              </w:rPr>
              <w:t>AAS based BS</w:t>
            </w:r>
          </w:p>
        </w:tc>
        <w:tc>
          <w:tcPr>
            <w:tcW w:w="2999" w:type="dxa"/>
            <w:vAlign w:val="center"/>
          </w:tcPr>
          <w:p>
            <w:pPr>
              <w:pStyle w:val="38"/>
              <w:suppressLineNumbers w:val="0"/>
              <w:spacing w:before="0" w:beforeAutospacing="0" w:afterAutospacing="0"/>
              <w:ind w:left="0" w:leftChars="0" w:right="0" w:rightChars="0"/>
              <w:rPr>
                <w:rFonts w:hint="default" w:cs="Arial"/>
                <w:szCs w:val="18"/>
              </w:rPr>
            </w:pPr>
            <w:r>
              <w:rPr>
                <w:rFonts w:hint="default" w:cs="Arial"/>
                <w:szCs w:val="18"/>
              </w:rPr>
              <w:t xml:space="preserve">Average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0.60</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0.67</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0.75</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0.86</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0.99</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8"/>
              <w:suppressLineNumbers w:val="0"/>
              <w:spacing w:before="0" w:beforeAutospacing="0" w:afterAutospacing="0"/>
              <w:ind w:left="0" w:right="0"/>
              <w:rPr>
                <w:rFonts w:hint="default" w:cs="Arial"/>
                <w:szCs w:val="18"/>
              </w:rPr>
            </w:pPr>
          </w:p>
        </w:tc>
        <w:tc>
          <w:tcPr>
            <w:tcW w:w="1620" w:type="dxa"/>
            <w:vMerge w:val="continue"/>
            <w:vAlign w:val="center"/>
          </w:tcPr>
          <w:p>
            <w:pPr>
              <w:pStyle w:val="38"/>
              <w:suppressLineNumbers w:val="0"/>
              <w:spacing w:before="0" w:beforeAutospacing="0" w:afterAutospacing="0"/>
              <w:ind w:left="0" w:right="0"/>
              <w:rPr>
                <w:rFonts w:hint="default" w:cs="Arial"/>
                <w:szCs w:val="18"/>
              </w:rPr>
            </w:pPr>
          </w:p>
        </w:tc>
        <w:tc>
          <w:tcPr>
            <w:tcW w:w="2999" w:type="dxa"/>
            <w:vAlign w:val="center"/>
          </w:tcPr>
          <w:p>
            <w:pPr>
              <w:pStyle w:val="38"/>
              <w:suppressLineNumbers w:val="0"/>
              <w:spacing w:before="0" w:beforeAutospacing="0" w:afterAutospacing="0"/>
              <w:ind w:left="0" w:leftChars="0" w:right="0" w:rightChars="0"/>
              <w:rPr>
                <w:rFonts w:hint="default" w:cs="Arial"/>
                <w:szCs w:val="18"/>
              </w:rPr>
            </w:pPr>
            <w:r>
              <w:rPr>
                <w:rFonts w:hint="default" w:cs="Arial"/>
                <w:szCs w:val="18"/>
              </w:rPr>
              <w:t xml:space="preserve">5%-tile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1.56</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1.88</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2.32</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2.92</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3.61</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8"/>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2048 (20% indoor, 450m)</w:t>
            </w:r>
          </w:p>
        </w:tc>
        <w:tc>
          <w:tcPr>
            <w:tcW w:w="1620" w:type="dxa"/>
            <w:vMerge w:val="restart"/>
            <w:vAlign w:val="center"/>
          </w:tcPr>
          <w:p>
            <w:pPr>
              <w:pStyle w:val="38"/>
              <w:suppressLineNumbers w:val="0"/>
              <w:spacing w:before="0" w:beforeAutospacing="0" w:afterAutospacing="0"/>
              <w:ind w:left="0" w:right="0"/>
              <w:rPr>
                <w:rFonts w:hint="default" w:cs="Arial"/>
                <w:szCs w:val="18"/>
                <w:lang w:eastAsia="zh-CN"/>
              </w:rPr>
            </w:pPr>
            <w:r>
              <w:rPr>
                <w:rFonts w:hint="default" w:cs="Arial"/>
                <w:szCs w:val="18"/>
                <w:lang w:eastAsia="zh-CN"/>
              </w:rPr>
              <w:t>AAS based BS</w:t>
            </w:r>
          </w:p>
        </w:tc>
        <w:tc>
          <w:tcPr>
            <w:tcW w:w="2999"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Average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0.30</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0.35</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0.40</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0.47</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0.55</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8"/>
              <w:suppressLineNumbers w:val="0"/>
              <w:spacing w:before="0" w:beforeAutospacing="0" w:afterAutospacing="0"/>
              <w:ind w:left="0" w:right="0"/>
              <w:rPr>
                <w:rFonts w:hint="default" w:cs="Arial"/>
                <w:szCs w:val="18"/>
              </w:rPr>
            </w:pPr>
          </w:p>
        </w:tc>
        <w:tc>
          <w:tcPr>
            <w:tcW w:w="1620" w:type="dxa"/>
            <w:vMerge w:val="continue"/>
            <w:vAlign w:val="center"/>
          </w:tcPr>
          <w:p>
            <w:pPr>
              <w:pStyle w:val="38"/>
              <w:suppressLineNumbers w:val="0"/>
              <w:spacing w:before="0" w:beforeAutospacing="0" w:afterAutospacing="0"/>
              <w:ind w:left="0" w:right="0"/>
              <w:rPr>
                <w:rFonts w:hint="default" w:cs="Arial"/>
                <w:szCs w:val="18"/>
              </w:rPr>
            </w:pPr>
          </w:p>
        </w:tc>
        <w:tc>
          <w:tcPr>
            <w:tcW w:w="2999"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5%-tile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7.64</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8.08</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8.95</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9.80</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10.71</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12.02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8"/>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2048 (0% indoor, 450m)</w:t>
            </w:r>
          </w:p>
        </w:tc>
        <w:tc>
          <w:tcPr>
            <w:tcW w:w="1620" w:type="dxa"/>
            <w:vMerge w:val="restart"/>
            <w:vAlign w:val="center"/>
          </w:tcPr>
          <w:p>
            <w:pPr>
              <w:pStyle w:val="38"/>
              <w:suppressLineNumbers w:val="0"/>
              <w:spacing w:before="0" w:beforeAutospacing="0" w:afterAutospacing="0"/>
              <w:ind w:left="0" w:right="0"/>
              <w:rPr>
                <w:rFonts w:hint="default" w:cs="Arial"/>
                <w:szCs w:val="18"/>
                <w:lang w:eastAsia="zh-CN"/>
              </w:rPr>
            </w:pPr>
            <w:r>
              <w:rPr>
                <w:rFonts w:hint="default" w:cs="Arial"/>
                <w:szCs w:val="18"/>
                <w:lang w:eastAsia="zh-CN"/>
              </w:rPr>
              <w:t>AAS based BS</w:t>
            </w:r>
          </w:p>
        </w:tc>
        <w:tc>
          <w:tcPr>
            <w:tcW w:w="2999"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Average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0.43</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0.48</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0.54</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0.62</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0.71</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8"/>
              <w:suppressLineNumbers w:val="0"/>
              <w:spacing w:before="0" w:beforeAutospacing="0" w:afterAutospacing="0"/>
              <w:ind w:left="0" w:right="0"/>
              <w:rPr>
                <w:rFonts w:hint="default" w:cs="Arial"/>
                <w:szCs w:val="18"/>
              </w:rPr>
            </w:pPr>
          </w:p>
        </w:tc>
        <w:tc>
          <w:tcPr>
            <w:tcW w:w="1620" w:type="dxa"/>
            <w:vMerge w:val="continue"/>
            <w:vAlign w:val="center"/>
          </w:tcPr>
          <w:p>
            <w:pPr>
              <w:pStyle w:val="38"/>
              <w:suppressLineNumbers w:val="0"/>
              <w:spacing w:before="0" w:beforeAutospacing="0" w:afterAutospacing="0"/>
              <w:ind w:left="0" w:right="0"/>
              <w:rPr>
                <w:rFonts w:hint="default" w:cs="Arial"/>
                <w:szCs w:val="18"/>
              </w:rPr>
            </w:pPr>
          </w:p>
        </w:tc>
        <w:tc>
          <w:tcPr>
            <w:tcW w:w="2999"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5%-tile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0.93</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1.05</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1.18</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1.62</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2.02</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2.63</w:t>
            </w:r>
          </w:p>
        </w:tc>
      </w:tr>
    </w:tbl>
    <w:p>
      <w:pPr>
        <w:widowControl/>
        <w:jc w:val="center"/>
        <w:rPr>
          <w:rFonts w:hint="default"/>
          <w:lang w:val="en-US" w:eastAsia="zh-CN"/>
        </w:rPr>
      </w:pPr>
    </w:p>
    <w:p>
      <w:pPr>
        <w:widowControl/>
        <w:jc w:val="both"/>
        <w:rPr>
          <w:rFonts w:hint="default"/>
          <w:b/>
          <w:bCs/>
          <w:lang w:val="en-US" w:eastAsia="zh-CN"/>
        </w:rPr>
      </w:pPr>
      <w:r>
        <w:rPr>
          <w:rFonts w:hint="eastAsia"/>
          <w:b/>
          <w:bCs/>
          <w:lang w:val="en-US" w:eastAsia="zh-CN"/>
        </w:rPr>
        <w:t>Observation 2</w:t>
      </w:r>
      <w:r>
        <w:rPr>
          <w:rFonts w:hint="eastAsia"/>
          <w:lang w:val="en-US" w:eastAsia="zh-CN"/>
        </w:rPr>
        <w:t xml:space="preserve">: based on the FR1 like UE assumption, for non-co-located deployment, even with the existing FR1 ACIR requirements under the 20% indoor deployment, it is still challenging to meet the 5% throughput loss criteria in Urban macro scenario. If the indoor deployment is assumed as 0%, then ACIR requirement could be relaxed around 10dB. </w:t>
      </w:r>
    </w:p>
    <w:p>
      <w:pPr>
        <w:widowControl/>
        <w:jc w:val="left"/>
        <w:rPr>
          <w:rFonts w:hint="eastAsia"/>
          <w:b/>
          <w:bCs/>
          <w:lang w:val="en-US" w:eastAsia="zh-CN"/>
        </w:rPr>
      </w:pPr>
      <w:r>
        <w:rPr>
          <w:rFonts w:hint="eastAsia" w:cs="Times New Roman"/>
          <w:b/>
          <w:bCs/>
          <w:lang w:val="en-US" w:eastAsia="zh-CN"/>
        </w:rPr>
        <w:t>FR2 like UE assumption: 23dBm</w:t>
      </w:r>
      <w:r>
        <w:rPr>
          <w:rFonts w:hint="eastAsia"/>
          <w:b/>
          <w:bCs/>
          <w:lang w:val="en-US" w:eastAsia="zh-CN"/>
        </w:rPr>
        <w:t xml:space="preserve">   </w:t>
      </w:r>
    </w:p>
    <w:p>
      <w:pPr>
        <w:pStyle w:val="47"/>
        <w:rPr>
          <w:rFonts w:hint="eastAsia"/>
          <w:lang w:val="en-US" w:eastAsia="zh-CN"/>
        </w:rPr>
      </w:pPr>
      <w:r>
        <w:rPr>
          <w:rFonts w:hint="eastAsia"/>
          <w:lang w:val="en-US" w:eastAsia="zh-CN"/>
        </w:rPr>
        <w:t>Table 2.2.1-1.D</w:t>
      </w:r>
      <w:r>
        <w:rPr>
          <w:rFonts w:hint="eastAsia"/>
          <w:lang w:val="en-US"/>
        </w:rPr>
        <w:t>L</w:t>
      </w:r>
      <w:r>
        <w:t xml:space="preserve"> throughput loss of victim </w:t>
      </w:r>
      <w:r>
        <w:rPr>
          <w:rFonts w:hint="eastAsia"/>
          <w:lang w:val="en-US"/>
        </w:rPr>
        <w:t xml:space="preserve">BS for </w:t>
      </w:r>
      <w:r>
        <w:rPr>
          <w:rFonts w:hint="eastAsia"/>
          <w:lang w:val="en-US" w:eastAsia="en-US"/>
        </w:rPr>
        <w:t>14800 to 15350 MHz</w:t>
      </w:r>
      <w:r>
        <w:rPr>
          <w:rFonts w:hint="eastAsia"/>
          <w:lang w:val="en-US" w:eastAsia="zh-CN"/>
        </w:rPr>
        <w:t xml:space="preserve"> </w:t>
      </w:r>
      <w:r>
        <w:rPr>
          <w:rFonts w:hint="eastAsia"/>
          <w:lang w:val="en-US"/>
        </w:rPr>
        <w:t>[Relative ACIR value</w:t>
      </w:r>
      <w:r>
        <w:rPr>
          <w:rFonts w:hint="eastAsia"/>
          <w:lang w:val="en-US" w:eastAsia="zh-CN"/>
        </w:rPr>
        <w:t>,ACLR=45dBc, ACS=33dBc</w:t>
      </w:r>
      <w:r>
        <w:rPr>
          <w:rFonts w:hint="eastAsia"/>
          <w:lang w:val="en-US"/>
        </w:rPr>
        <w:t>]</w:t>
      </w:r>
      <w:r>
        <w:rPr>
          <w:rFonts w:hint="eastAsia"/>
          <w:lang w:val="en-US" w:eastAsia="zh-CN"/>
        </w:rPr>
        <w:t xml:space="preserve"> [co-located]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755"/>
        <w:gridCol w:w="3199"/>
        <w:gridCol w:w="607"/>
        <w:gridCol w:w="607"/>
        <w:gridCol w:w="607"/>
        <w:gridCol w:w="607"/>
        <w:gridCol w:w="607"/>
        <w:gridCol w:w="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7"/>
              <w:suppressLineNumbers w:val="0"/>
              <w:spacing w:before="0" w:beforeAutospacing="0" w:afterAutospacing="0"/>
              <w:ind w:left="0" w:right="0"/>
              <w:rPr>
                <w:rFonts w:hint="default"/>
                <w:lang w:val="en-US" w:eastAsia="zh-CN"/>
              </w:rPr>
            </w:pPr>
            <w:r>
              <w:rPr>
                <w:rFonts w:hint="eastAsia"/>
                <w:lang w:val="en-US" w:eastAsia="zh-CN"/>
              </w:rPr>
              <w:t xml:space="preserve">Antenna configuration  </w:t>
            </w:r>
          </w:p>
        </w:tc>
        <w:tc>
          <w:tcPr>
            <w:tcW w:w="1802" w:type="dxa"/>
            <w:vMerge w:val="restart"/>
            <w:vAlign w:val="center"/>
          </w:tcPr>
          <w:p>
            <w:pPr>
              <w:pStyle w:val="37"/>
              <w:suppressLineNumbers w:val="0"/>
              <w:spacing w:before="0" w:beforeAutospacing="0" w:afterAutospacing="0"/>
              <w:ind w:left="0" w:right="0"/>
              <w:rPr>
                <w:rFonts w:hint="default"/>
                <w:lang w:eastAsia="zh-CN"/>
              </w:rPr>
            </w:pPr>
            <w:r>
              <w:rPr>
                <w:rFonts w:hint="eastAsia"/>
                <w:lang w:eastAsia="zh-CN"/>
              </w:rPr>
              <w:t>Simulation scenarios</w:t>
            </w:r>
          </w:p>
        </w:tc>
        <w:tc>
          <w:tcPr>
            <w:tcW w:w="0" w:type="auto"/>
            <w:vMerge w:val="restart"/>
            <w:vAlign w:val="center"/>
          </w:tcPr>
          <w:p>
            <w:pPr>
              <w:pStyle w:val="37"/>
              <w:suppressLineNumbers w:val="0"/>
              <w:spacing w:before="0" w:beforeAutospacing="0" w:afterAutospacing="0"/>
              <w:ind w:left="0" w:right="0"/>
              <w:rPr>
                <w:rFonts w:hint="default"/>
                <w:lang w:eastAsia="zh-CN"/>
              </w:rPr>
            </w:pPr>
            <w:r>
              <w:rPr>
                <w:rFonts w:hint="eastAsia"/>
                <w:lang w:eastAsia="zh-CN"/>
              </w:rPr>
              <w:t>Throughput loss</w:t>
            </w:r>
          </w:p>
        </w:tc>
        <w:tc>
          <w:tcPr>
            <w:tcW w:w="0" w:type="auto"/>
            <w:gridSpan w:val="6"/>
          </w:tcPr>
          <w:p>
            <w:pPr>
              <w:pStyle w:val="37"/>
              <w:suppressLineNumbers w:val="0"/>
              <w:spacing w:before="0" w:beforeAutospacing="0" w:afterAutospacing="0"/>
              <w:ind w:left="0" w:right="0"/>
              <w:rPr>
                <w:rFonts w:hint="default"/>
                <w:lang w:eastAsia="zh-CN"/>
              </w:rPr>
            </w:pPr>
            <w:r>
              <w:rPr>
                <w:rFonts w:hint="eastAsia"/>
                <w:lang w:eastAsia="zh-CN"/>
              </w:rPr>
              <w:t>Relative ACIR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7"/>
              <w:suppressLineNumbers w:val="0"/>
              <w:spacing w:before="0" w:beforeAutospacing="0" w:afterAutospacing="0"/>
              <w:ind w:left="0" w:right="0"/>
              <w:rPr>
                <w:rFonts w:hint="default"/>
                <w:lang w:eastAsia="zh-CN"/>
              </w:rPr>
            </w:pPr>
          </w:p>
        </w:tc>
        <w:tc>
          <w:tcPr>
            <w:tcW w:w="1802" w:type="dxa"/>
            <w:vMerge w:val="continue"/>
            <w:vAlign w:val="center"/>
          </w:tcPr>
          <w:p>
            <w:pPr>
              <w:pStyle w:val="37"/>
              <w:suppressLineNumbers w:val="0"/>
              <w:spacing w:before="0" w:beforeAutospacing="0" w:afterAutospacing="0"/>
              <w:ind w:left="0" w:right="0"/>
              <w:rPr>
                <w:rFonts w:hint="default"/>
                <w:lang w:eastAsia="zh-CN"/>
              </w:rPr>
            </w:pPr>
          </w:p>
        </w:tc>
        <w:tc>
          <w:tcPr>
            <w:tcW w:w="0" w:type="auto"/>
            <w:vMerge w:val="continue"/>
            <w:vAlign w:val="center"/>
          </w:tcPr>
          <w:p>
            <w:pPr>
              <w:pStyle w:val="37"/>
              <w:suppressLineNumbers w:val="0"/>
              <w:spacing w:before="0" w:beforeAutospacing="0" w:afterAutospacing="0"/>
              <w:ind w:left="0" w:right="0"/>
              <w:rPr>
                <w:rFonts w:hint="default"/>
                <w:lang w:eastAsia="zh-CN"/>
              </w:rPr>
            </w:pPr>
          </w:p>
        </w:tc>
        <w:tc>
          <w:tcPr>
            <w:tcW w:w="0" w:type="auto"/>
          </w:tcPr>
          <w:p>
            <w:pPr>
              <w:pStyle w:val="37"/>
              <w:suppressLineNumbers w:val="0"/>
              <w:spacing w:before="0" w:beforeAutospacing="0" w:afterAutospacing="0"/>
              <w:ind w:left="0" w:right="0"/>
              <w:rPr>
                <w:rFonts w:hint="default"/>
              </w:rPr>
            </w:pPr>
            <w:r>
              <w:rPr>
                <w:rFonts w:hint="default"/>
              </w:rPr>
              <w:t>0</w:t>
            </w:r>
          </w:p>
        </w:tc>
        <w:tc>
          <w:tcPr>
            <w:tcW w:w="0" w:type="auto"/>
          </w:tcPr>
          <w:p>
            <w:pPr>
              <w:pStyle w:val="37"/>
              <w:suppressLineNumbers w:val="0"/>
              <w:spacing w:before="0" w:beforeAutospacing="0" w:afterAutospacing="0"/>
              <w:ind w:left="0" w:right="0"/>
              <w:rPr>
                <w:rFonts w:hint="eastAsia" w:eastAsia="宋体"/>
                <w:lang w:eastAsia="zh-CN"/>
              </w:rPr>
            </w:pPr>
            <w:r>
              <w:rPr>
                <w:rFonts w:hint="default"/>
              </w:rPr>
              <w:t>-</w:t>
            </w:r>
            <w:r>
              <w:rPr>
                <w:rFonts w:hint="eastAsia" w:eastAsia="宋体"/>
                <w:lang w:val="en-US" w:eastAsia="zh-CN"/>
              </w:rPr>
              <w:t>2</w:t>
            </w:r>
          </w:p>
        </w:tc>
        <w:tc>
          <w:tcPr>
            <w:tcW w:w="0" w:type="auto"/>
          </w:tcPr>
          <w:p>
            <w:pPr>
              <w:pStyle w:val="37"/>
              <w:suppressLineNumbers w:val="0"/>
              <w:spacing w:before="0" w:beforeAutospacing="0" w:afterAutospacing="0"/>
              <w:ind w:left="0" w:right="0"/>
              <w:rPr>
                <w:rFonts w:hint="eastAsia" w:eastAsia="宋体"/>
                <w:lang w:eastAsia="zh-CN"/>
              </w:rPr>
            </w:pPr>
            <w:r>
              <w:rPr>
                <w:rFonts w:hint="default"/>
              </w:rPr>
              <w:t>-</w:t>
            </w:r>
            <w:r>
              <w:rPr>
                <w:rFonts w:hint="eastAsia" w:eastAsia="宋体"/>
                <w:lang w:val="en-US" w:eastAsia="zh-CN"/>
              </w:rPr>
              <w:t>4</w:t>
            </w:r>
          </w:p>
        </w:tc>
        <w:tc>
          <w:tcPr>
            <w:tcW w:w="0" w:type="auto"/>
          </w:tcPr>
          <w:p>
            <w:pPr>
              <w:pStyle w:val="37"/>
              <w:suppressLineNumbers w:val="0"/>
              <w:spacing w:before="0" w:beforeAutospacing="0" w:afterAutospacing="0"/>
              <w:ind w:left="0" w:right="0"/>
              <w:rPr>
                <w:rFonts w:hint="eastAsia" w:eastAsia="宋体"/>
                <w:lang w:eastAsia="zh-CN"/>
              </w:rPr>
            </w:pPr>
            <w:r>
              <w:rPr>
                <w:rFonts w:hint="default"/>
              </w:rPr>
              <w:t>-</w:t>
            </w:r>
            <w:r>
              <w:rPr>
                <w:rFonts w:hint="eastAsia" w:eastAsia="宋体"/>
                <w:lang w:val="en-US" w:eastAsia="zh-CN"/>
              </w:rPr>
              <w:t>6</w:t>
            </w:r>
          </w:p>
        </w:tc>
        <w:tc>
          <w:tcPr>
            <w:tcW w:w="0" w:type="auto"/>
          </w:tcPr>
          <w:p>
            <w:pPr>
              <w:pStyle w:val="37"/>
              <w:suppressLineNumbers w:val="0"/>
              <w:spacing w:before="0" w:beforeAutospacing="0" w:afterAutospacing="0"/>
              <w:ind w:left="0" w:right="0"/>
              <w:rPr>
                <w:rFonts w:hint="eastAsia" w:eastAsia="宋体"/>
                <w:lang w:eastAsia="zh-CN"/>
              </w:rPr>
            </w:pPr>
            <w:r>
              <w:rPr>
                <w:rFonts w:hint="default"/>
              </w:rPr>
              <w:t>-</w:t>
            </w:r>
            <w:r>
              <w:rPr>
                <w:rFonts w:hint="eastAsia" w:eastAsia="宋体"/>
                <w:lang w:val="en-US" w:eastAsia="zh-CN"/>
              </w:rPr>
              <w:t>8</w:t>
            </w:r>
          </w:p>
        </w:tc>
        <w:tc>
          <w:tcPr>
            <w:tcW w:w="0" w:type="auto"/>
          </w:tcPr>
          <w:p>
            <w:pPr>
              <w:pStyle w:val="37"/>
              <w:suppressLineNumbers w:val="0"/>
              <w:spacing w:before="0" w:beforeAutospacing="0" w:afterAutospacing="0"/>
              <w:ind w:left="0" w:right="0"/>
              <w:rPr>
                <w:rFonts w:hint="default" w:eastAsia="宋体"/>
                <w:lang w:val="en-US" w:eastAsia="zh-CN"/>
              </w:rPr>
            </w:pPr>
            <w:r>
              <w:rPr>
                <w:rFonts w:hint="default"/>
              </w:rPr>
              <w:t>-</w:t>
            </w:r>
            <w:r>
              <w:rPr>
                <w:rFonts w:hint="eastAsia"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8"/>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1536 (20% indoor, 450m)</w:t>
            </w:r>
          </w:p>
        </w:tc>
        <w:tc>
          <w:tcPr>
            <w:tcW w:w="1802" w:type="dxa"/>
            <w:vMerge w:val="restart"/>
            <w:vAlign w:val="center"/>
          </w:tcPr>
          <w:p>
            <w:pPr>
              <w:pStyle w:val="38"/>
              <w:suppressLineNumbers w:val="0"/>
              <w:spacing w:before="0" w:beforeAutospacing="0" w:afterAutospacing="0"/>
              <w:ind w:left="0" w:right="0"/>
              <w:rPr>
                <w:rFonts w:hint="default" w:cs="Arial"/>
                <w:szCs w:val="18"/>
                <w:lang w:eastAsia="zh-CN"/>
              </w:rPr>
            </w:pPr>
            <w:r>
              <w:rPr>
                <w:rFonts w:hint="default" w:cs="Arial"/>
                <w:szCs w:val="18"/>
                <w:lang w:eastAsia="zh-CN"/>
              </w:rPr>
              <w:t>AAS based BS</w:t>
            </w:r>
          </w:p>
        </w:tc>
        <w:tc>
          <w:tcPr>
            <w:tcW w:w="0" w:type="auto"/>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Average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31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0.00</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0.00</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0.00</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0.00</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highlight w:val="yellow"/>
              </w:rPr>
            </w:pPr>
            <w:r>
              <w:rPr>
                <w:rFonts w:hint="default" w:ascii="Calibri" w:hAnsi="Calibri" w:eastAsia="宋体" w:cs="Calibri"/>
                <w:i w:val="0"/>
                <w:iCs w:val="0"/>
                <w:color w:val="000000"/>
                <w:kern w:val="0"/>
                <w:sz w:val="22"/>
                <w:szCs w:val="22"/>
                <w:u w:val="none"/>
                <w:lang w:val="en-US" w:eastAsia="zh-CN" w:bidi="ar"/>
              </w:rPr>
              <w:t>0.00</w:t>
            </w:r>
          </w:p>
        </w:tc>
        <w:tc>
          <w:tcPr>
            <w:tcW w:w="4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8"/>
              <w:suppressLineNumbers w:val="0"/>
              <w:spacing w:before="0" w:beforeAutospacing="0" w:afterAutospacing="0"/>
              <w:ind w:left="0" w:right="0"/>
              <w:rPr>
                <w:rFonts w:hint="default" w:cs="Arial"/>
                <w:szCs w:val="18"/>
              </w:rPr>
            </w:pPr>
          </w:p>
        </w:tc>
        <w:tc>
          <w:tcPr>
            <w:tcW w:w="1802" w:type="dxa"/>
            <w:vMerge w:val="continue"/>
            <w:vAlign w:val="center"/>
          </w:tcPr>
          <w:p>
            <w:pPr>
              <w:pStyle w:val="38"/>
              <w:suppressLineNumbers w:val="0"/>
              <w:spacing w:before="0" w:beforeAutospacing="0" w:afterAutospacing="0"/>
              <w:ind w:left="0" w:right="0"/>
              <w:rPr>
                <w:rFonts w:hint="default" w:cs="Arial"/>
                <w:szCs w:val="18"/>
              </w:rPr>
            </w:pPr>
          </w:p>
        </w:tc>
        <w:tc>
          <w:tcPr>
            <w:tcW w:w="0" w:type="auto"/>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5%-tile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31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1.33</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1.33</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1.37</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1.77</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highlight w:val="yellow"/>
              </w:rPr>
            </w:pPr>
            <w:r>
              <w:rPr>
                <w:rFonts w:hint="default" w:ascii="Calibri" w:hAnsi="Calibri" w:eastAsia="宋体" w:cs="Calibri"/>
                <w:i w:val="0"/>
                <w:iCs w:val="0"/>
                <w:color w:val="000000"/>
                <w:kern w:val="0"/>
                <w:sz w:val="22"/>
                <w:szCs w:val="22"/>
                <w:u w:val="none"/>
                <w:lang w:val="en-US" w:eastAsia="zh-CN" w:bidi="ar"/>
              </w:rPr>
              <w:t>1.94</w:t>
            </w:r>
          </w:p>
        </w:tc>
        <w:tc>
          <w:tcPr>
            <w:tcW w:w="47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rPr>
            </w:pPr>
            <w:r>
              <w:rPr>
                <w:rFonts w:hint="default" w:ascii="Calibri" w:hAnsi="Calibri" w:eastAsia="宋体" w:cs="Calibri"/>
                <w:i w:val="0"/>
                <w:iCs w:val="0"/>
                <w:color w:val="000000"/>
                <w:kern w:val="0"/>
                <w:sz w:val="22"/>
                <w:szCs w:val="22"/>
                <w:u w:val="none"/>
                <w:lang w:val="en-US" w:eastAsia="zh-CN" w:bidi="ar"/>
              </w:rPr>
              <w:t>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366" w:type="dxa"/>
            <w:vMerge w:val="restart"/>
            <w:vAlign w:val="center"/>
          </w:tcPr>
          <w:p>
            <w:pPr>
              <w:pStyle w:val="38"/>
              <w:suppressLineNumbers w:val="0"/>
              <w:spacing w:before="0" w:beforeAutospacing="0" w:afterAutospacing="0"/>
              <w:ind w:left="0" w:right="0"/>
              <w:rPr>
                <w:rFonts w:hint="default" w:cs="Arial"/>
                <w:szCs w:val="18"/>
                <w:lang w:val="en-US"/>
              </w:rPr>
            </w:pPr>
            <w:r>
              <w:rPr>
                <w:rFonts w:hint="eastAsia" w:cs="Arial"/>
                <w:szCs w:val="18"/>
                <w:lang w:val="en-US" w:eastAsia="zh-CN"/>
              </w:rPr>
              <w:t>2048 (20% indoor, 450m)</w:t>
            </w:r>
          </w:p>
        </w:tc>
        <w:tc>
          <w:tcPr>
            <w:tcW w:w="1802" w:type="dxa"/>
            <w:vMerge w:val="restart"/>
            <w:vAlign w:val="center"/>
          </w:tcPr>
          <w:p>
            <w:pPr>
              <w:pStyle w:val="38"/>
              <w:suppressLineNumbers w:val="0"/>
              <w:spacing w:before="0" w:beforeAutospacing="0" w:afterAutospacing="0"/>
              <w:ind w:left="0" w:right="0"/>
              <w:rPr>
                <w:rFonts w:hint="default" w:cs="Arial"/>
                <w:szCs w:val="18"/>
              </w:rPr>
            </w:pPr>
            <w:r>
              <w:rPr>
                <w:rFonts w:hint="default" w:cs="Arial"/>
                <w:szCs w:val="18"/>
                <w:lang w:eastAsia="zh-CN"/>
              </w:rPr>
              <w:t>AAS based BS</w:t>
            </w:r>
          </w:p>
        </w:tc>
        <w:tc>
          <w:tcPr>
            <w:tcW w:w="3348"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Average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31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0.00</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0.00</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0.00</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0.00</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0.00</w:t>
            </w:r>
          </w:p>
        </w:tc>
        <w:tc>
          <w:tcPr>
            <w:tcW w:w="4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8"/>
              <w:suppressLineNumbers w:val="0"/>
              <w:spacing w:before="0" w:beforeAutospacing="0" w:afterAutospacing="0"/>
              <w:ind w:left="0" w:right="0"/>
              <w:rPr>
                <w:rFonts w:hint="default" w:cs="Arial"/>
                <w:szCs w:val="18"/>
              </w:rPr>
            </w:pPr>
          </w:p>
        </w:tc>
        <w:tc>
          <w:tcPr>
            <w:tcW w:w="1802" w:type="dxa"/>
            <w:vMerge w:val="continue"/>
            <w:vAlign w:val="center"/>
          </w:tcPr>
          <w:p>
            <w:pPr>
              <w:pStyle w:val="38"/>
              <w:suppressLineNumbers w:val="0"/>
              <w:spacing w:before="0" w:beforeAutospacing="0" w:afterAutospacing="0"/>
              <w:ind w:left="0" w:right="0"/>
              <w:rPr>
                <w:rFonts w:hint="default" w:cs="Arial"/>
                <w:szCs w:val="18"/>
              </w:rPr>
            </w:pPr>
          </w:p>
        </w:tc>
        <w:tc>
          <w:tcPr>
            <w:tcW w:w="3348"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5%-tile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31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1.90</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2.37</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2.88</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3.25</w:t>
            </w:r>
          </w:p>
        </w:tc>
        <w:tc>
          <w:tcPr>
            <w:tcW w:w="3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3.43</w:t>
            </w:r>
          </w:p>
        </w:tc>
        <w:tc>
          <w:tcPr>
            <w:tcW w:w="47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00"/>
                <w:szCs w:val="18"/>
                <w:lang w:bidi="ar"/>
              </w:rPr>
            </w:pPr>
            <w:r>
              <w:rPr>
                <w:rFonts w:hint="default" w:ascii="Calibri" w:hAnsi="Calibri" w:eastAsia="宋体" w:cs="Calibri"/>
                <w:i w:val="0"/>
                <w:iCs w:val="0"/>
                <w:color w:val="000000"/>
                <w:kern w:val="0"/>
                <w:sz w:val="22"/>
                <w:szCs w:val="22"/>
                <w:u w:val="none"/>
                <w:lang w:val="en-US" w:eastAsia="zh-CN" w:bidi="ar"/>
              </w:rPr>
              <w:t>3.98</w:t>
            </w:r>
          </w:p>
        </w:tc>
      </w:tr>
    </w:tbl>
    <w:p>
      <w:pPr>
        <w:widowControl/>
        <w:jc w:val="both"/>
        <w:rPr>
          <w:rFonts w:hint="eastAsia"/>
          <w:lang w:val="en-US" w:eastAsia="zh-CN"/>
        </w:rPr>
      </w:pPr>
    </w:p>
    <w:p>
      <w:pPr>
        <w:widowControl/>
        <w:jc w:val="both"/>
        <w:rPr>
          <w:rFonts w:hint="eastAsia"/>
          <w:lang w:val="en-US" w:eastAsia="zh-CN"/>
        </w:rPr>
      </w:pPr>
      <w:r>
        <w:rPr>
          <w:rFonts w:hint="eastAsia"/>
          <w:b/>
          <w:bCs/>
          <w:lang w:val="en-US" w:eastAsia="zh-CN"/>
        </w:rPr>
        <w:t>Observation 3</w:t>
      </w:r>
      <w:r>
        <w:rPr>
          <w:rFonts w:hint="eastAsia"/>
          <w:lang w:val="en-US" w:eastAsia="zh-CN"/>
        </w:rPr>
        <w:t>: based on the FR2 like UE assumption, then DL ACIR requirement could be relaxed around 10dB in Urban macro scenario.</w:t>
      </w:r>
    </w:p>
    <w:p>
      <w:pPr>
        <w:pStyle w:val="47"/>
        <w:rPr>
          <w:rFonts w:hint="eastAsia" w:eastAsia="宋体"/>
          <w:lang w:val="en-US" w:eastAsia="zh-CN"/>
        </w:rPr>
      </w:pPr>
      <w:r>
        <w:rPr>
          <w:rFonts w:hint="eastAsia"/>
          <w:lang w:val="en-US" w:eastAsia="zh-CN"/>
        </w:rPr>
        <w:t>Table 2.2.1-3.U</w:t>
      </w:r>
      <w:r>
        <w:rPr>
          <w:rFonts w:hint="eastAsia"/>
          <w:lang w:val="en-US"/>
        </w:rPr>
        <w:t>L</w:t>
      </w:r>
      <w:r>
        <w:t xml:space="preserve"> throughput loss of victim </w:t>
      </w:r>
      <w:r>
        <w:rPr>
          <w:rFonts w:hint="eastAsia"/>
          <w:lang w:val="en-US"/>
        </w:rPr>
        <w:t xml:space="preserve">BS for </w:t>
      </w:r>
      <w:r>
        <w:rPr>
          <w:rFonts w:hint="eastAsia"/>
          <w:lang w:val="en-US" w:eastAsia="en-US"/>
        </w:rPr>
        <w:t>14800 to 15350 MHz</w:t>
      </w:r>
      <w:r>
        <w:rPr>
          <w:rFonts w:hint="eastAsia"/>
          <w:lang w:val="en-US" w:eastAsia="zh-CN"/>
        </w:rPr>
        <w:t xml:space="preserve"> </w:t>
      </w:r>
      <w:r>
        <w:rPr>
          <w:rFonts w:hint="eastAsia"/>
          <w:lang w:val="en-US"/>
        </w:rPr>
        <w:t>[Relative ACIR value</w:t>
      </w:r>
      <w:r>
        <w:rPr>
          <w:rFonts w:hint="eastAsia"/>
          <w:lang w:val="en-US" w:eastAsia="zh-CN"/>
        </w:rPr>
        <w:t>,,ACLR=30dBc, ACS=46dBc</w:t>
      </w:r>
      <w:r>
        <w:rPr>
          <w:rFonts w:hint="eastAsia"/>
          <w:lang w:val="en-US"/>
        </w:rPr>
        <w:t>]</w:t>
      </w:r>
      <w:r>
        <w:rPr>
          <w:rFonts w:hint="eastAsia"/>
          <w:lang w:val="en-US" w:eastAsia="zh-CN"/>
        </w:rPr>
        <w:t xml:space="preserve"> [co-located]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620"/>
        <w:gridCol w:w="2999"/>
        <w:gridCol w:w="607"/>
        <w:gridCol w:w="607"/>
        <w:gridCol w:w="607"/>
        <w:gridCol w:w="718"/>
        <w:gridCol w:w="718"/>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7"/>
              <w:suppressLineNumbers w:val="0"/>
              <w:spacing w:before="0" w:beforeAutospacing="0" w:afterAutospacing="0"/>
              <w:ind w:left="0" w:right="0"/>
              <w:rPr>
                <w:rFonts w:hint="default"/>
                <w:lang w:eastAsia="zh-CN"/>
              </w:rPr>
            </w:pPr>
            <w:r>
              <w:rPr>
                <w:rFonts w:hint="eastAsia"/>
                <w:lang w:val="en-US" w:eastAsia="zh-CN"/>
              </w:rPr>
              <w:t>Antenna configuration</w:t>
            </w:r>
          </w:p>
        </w:tc>
        <w:tc>
          <w:tcPr>
            <w:tcW w:w="1620" w:type="dxa"/>
            <w:vMerge w:val="restart"/>
            <w:vAlign w:val="center"/>
          </w:tcPr>
          <w:p>
            <w:pPr>
              <w:pStyle w:val="37"/>
              <w:suppressLineNumbers w:val="0"/>
              <w:spacing w:before="0" w:beforeAutospacing="0" w:afterAutospacing="0"/>
              <w:ind w:left="0" w:right="0"/>
              <w:rPr>
                <w:rFonts w:hint="default"/>
                <w:lang w:eastAsia="zh-CN"/>
              </w:rPr>
            </w:pPr>
            <w:r>
              <w:rPr>
                <w:rFonts w:hint="eastAsia"/>
                <w:lang w:eastAsia="zh-CN"/>
              </w:rPr>
              <w:t>Simulation scenarios</w:t>
            </w:r>
          </w:p>
        </w:tc>
        <w:tc>
          <w:tcPr>
            <w:tcW w:w="2999" w:type="dxa"/>
            <w:vMerge w:val="restart"/>
            <w:vAlign w:val="center"/>
          </w:tcPr>
          <w:p>
            <w:pPr>
              <w:pStyle w:val="37"/>
              <w:suppressLineNumbers w:val="0"/>
              <w:spacing w:before="0" w:beforeAutospacing="0" w:afterAutospacing="0"/>
              <w:ind w:left="0" w:right="0"/>
              <w:rPr>
                <w:rFonts w:hint="default"/>
                <w:lang w:eastAsia="zh-CN"/>
              </w:rPr>
            </w:pPr>
            <w:r>
              <w:rPr>
                <w:rFonts w:hint="eastAsia"/>
                <w:lang w:eastAsia="zh-CN"/>
              </w:rPr>
              <w:t>Throughput loss</w:t>
            </w:r>
          </w:p>
        </w:tc>
        <w:tc>
          <w:tcPr>
            <w:tcW w:w="3975" w:type="dxa"/>
            <w:gridSpan w:val="6"/>
          </w:tcPr>
          <w:p>
            <w:pPr>
              <w:pStyle w:val="37"/>
              <w:suppressLineNumbers w:val="0"/>
              <w:spacing w:before="0" w:beforeAutospacing="0" w:afterAutospacing="0"/>
              <w:ind w:left="0" w:right="0"/>
              <w:rPr>
                <w:rFonts w:hint="default"/>
                <w:lang w:eastAsia="zh-CN"/>
              </w:rPr>
            </w:pPr>
            <w:r>
              <w:rPr>
                <w:rFonts w:hint="eastAsia"/>
                <w:lang w:eastAsia="zh-CN"/>
              </w:rPr>
              <w:t>Relative ACIR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7"/>
              <w:suppressLineNumbers w:val="0"/>
              <w:spacing w:before="0" w:beforeAutospacing="0" w:afterAutospacing="0"/>
              <w:ind w:left="0" w:right="0"/>
              <w:rPr>
                <w:rFonts w:hint="default"/>
                <w:lang w:eastAsia="zh-CN"/>
              </w:rPr>
            </w:pPr>
          </w:p>
        </w:tc>
        <w:tc>
          <w:tcPr>
            <w:tcW w:w="1620" w:type="dxa"/>
            <w:vMerge w:val="continue"/>
            <w:vAlign w:val="center"/>
          </w:tcPr>
          <w:p>
            <w:pPr>
              <w:pStyle w:val="37"/>
              <w:suppressLineNumbers w:val="0"/>
              <w:spacing w:before="0" w:beforeAutospacing="0" w:afterAutospacing="0"/>
              <w:ind w:left="0" w:right="0"/>
              <w:rPr>
                <w:rFonts w:hint="default"/>
                <w:lang w:eastAsia="zh-CN"/>
              </w:rPr>
            </w:pPr>
          </w:p>
        </w:tc>
        <w:tc>
          <w:tcPr>
            <w:tcW w:w="2999" w:type="dxa"/>
            <w:vMerge w:val="continue"/>
            <w:vAlign w:val="center"/>
          </w:tcPr>
          <w:p>
            <w:pPr>
              <w:pStyle w:val="37"/>
              <w:suppressLineNumbers w:val="0"/>
              <w:spacing w:before="0" w:beforeAutospacing="0" w:afterAutospacing="0"/>
              <w:ind w:left="0" w:right="0"/>
              <w:rPr>
                <w:rFonts w:hint="default"/>
                <w:lang w:eastAsia="zh-CN"/>
              </w:rPr>
            </w:pPr>
          </w:p>
        </w:tc>
        <w:tc>
          <w:tcPr>
            <w:tcW w:w="607" w:type="dxa"/>
            <w:vAlign w:val="top"/>
          </w:tcPr>
          <w:p>
            <w:pPr>
              <w:pStyle w:val="37"/>
              <w:suppressLineNumbers w:val="0"/>
              <w:spacing w:before="0" w:beforeAutospacing="0" w:afterAutospacing="0"/>
              <w:ind w:left="0" w:leftChars="0" w:right="0" w:rightChars="0"/>
              <w:rPr>
                <w:rFonts w:hint="default"/>
              </w:rPr>
            </w:pPr>
            <w:r>
              <w:rPr>
                <w:rFonts w:hint="default"/>
              </w:rPr>
              <w:t>0</w:t>
            </w:r>
          </w:p>
        </w:tc>
        <w:tc>
          <w:tcPr>
            <w:tcW w:w="607" w:type="dxa"/>
            <w:vAlign w:val="top"/>
          </w:tcPr>
          <w:p>
            <w:pPr>
              <w:pStyle w:val="37"/>
              <w:suppressLineNumbers w:val="0"/>
              <w:spacing w:before="0" w:beforeAutospacing="0" w:afterAutospacing="0"/>
              <w:ind w:left="0" w:leftChars="0" w:right="0" w:rightChars="0"/>
              <w:rPr>
                <w:rFonts w:hint="default"/>
              </w:rPr>
            </w:pPr>
            <w:r>
              <w:rPr>
                <w:rFonts w:hint="default"/>
              </w:rPr>
              <w:t>-</w:t>
            </w:r>
            <w:r>
              <w:rPr>
                <w:rFonts w:hint="eastAsia" w:eastAsia="宋体"/>
                <w:lang w:val="en-US" w:eastAsia="zh-CN"/>
              </w:rPr>
              <w:t>2</w:t>
            </w:r>
          </w:p>
        </w:tc>
        <w:tc>
          <w:tcPr>
            <w:tcW w:w="607" w:type="dxa"/>
            <w:vAlign w:val="top"/>
          </w:tcPr>
          <w:p>
            <w:pPr>
              <w:pStyle w:val="37"/>
              <w:suppressLineNumbers w:val="0"/>
              <w:spacing w:before="0" w:beforeAutospacing="0" w:afterAutospacing="0"/>
              <w:ind w:left="0" w:leftChars="0" w:right="0" w:rightChars="0"/>
              <w:rPr>
                <w:rFonts w:hint="default"/>
              </w:rPr>
            </w:pPr>
            <w:r>
              <w:rPr>
                <w:rFonts w:hint="default"/>
              </w:rPr>
              <w:t>-</w:t>
            </w:r>
            <w:r>
              <w:rPr>
                <w:rFonts w:hint="eastAsia" w:eastAsia="宋体"/>
                <w:lang w:val="en-US" w:eastAsia="zh-CN"/>
              </w:rPr>
              <w:t>4</w:t>
            </w:r>
          </w:p>
        </w:tc>
        <w:tc>
          <w:tcPr>
            <w:tcW w:w="718" w:type="dxa"/>
            <w:vAlign w:val="top"/>
          </w:tcPr>
          <w:p>
            <w:pPr>
              <w:pStyle w:val="37"/>
              <w:suppressLineNumbers w:val="0"/>
              <w:spacing w:before="0" w:beforeAutospacing="0" w:afterAutospacing="0"/>
              <w:ind w:left="0" w:leftChars="0" w:right="0" w:rightChars="0"/>
              <w:rPr>
                <w:rFonts w:hint="default"/>
              </w:rPr>
            </w:pPr>
            <w:r>
              <w:rPr>
                <w:rFonts w:hint="default"/>
              </w:rPr>
              <w:t>-</w:t>
            </w:r>
            <w:r>
              <w:rPr>
                <w:rFonts w:hint="eastAsia" w:eastAsia="宋体"/>
                <w:lang w:val="en-US" w:eastAsia="zh-CN"/>
              </w:rPr>
              <w:t>6</w:t>
            </w:r>
          </w:p>
        </w:tc>
        <w:tc>
          <w:tcPr>
            <w:tcW w:w="718" w:type="dxa"/>
            <w:vAlign w:val="top"/>
          </w:tcPr>
          <w:p>
            <w:pPr>
              <w:pStyle w:val="37"/>
              <w:suppressLineNumbers w:val="0"/>
              <w:spacing w:before="0" w:beforeAutospacing="0" w:afterAutospacing="0"/>
              <w:ind w:left="0" w:leftChars="0" w:right="0" w:rightChars="0"/>
              <w:rPr>
                <w:rFonts w:hint="default"/>
              </w:rPr>
            </w:pPr>
            <w:r>
              <w:rPr>
                <w:rFonts w:hint="default"/>
              </w:rPr>
              <w:t>-</w:t>
            </w:r>
            <w:r>
              <w:rPr>
                <w:rFonts w:hint="eastAsia" w:eastAsia="宋体"/>
                <w:lang w:val="en-US" w:eastAsia="zh-CN"/>
              </w:rPr>
              <w:t>8</w:t>
            </w:r>
          </w:p>
        </w:tc>
        <w:tc>
          <w:tcPr>
            <w:tcW w:w="718" w:type="dxa"/>
            <w:vAlign w:val="top"/>
          </w:tcPr>
          <w:p>
            <w:pPr>
              <w:pStyle w:val="37"/>
              <w:suppressLineNumbers w:val="0"/>
              <w:spacing w:before="0" w:beforeAutospacing="0" w:afterAutospacing="0"/>
              <w:ind w:left="0" w:leftChars="0" w:right="0" w:rightChars="0"/>
              <w:rPr>
                <w:rFonts w:hint="default"/>
              </w:rPr>
            </w:pPr>
            <w:r>
              <w:rPr>
                <w:rFonts w:hint="default"/>
              </w:rPr>
              <w:t>-</w:t>
            </w:r>
            <w:r>
              <w:rPr>
                <w:rFonts w:hint="eastAsia"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8"/>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1536 (20% indoor, 450m)</w:t>
            </w:r>
          </w:p>
        </w:tc>
        <w:tc>
          <w:tcPr>
            <w:tcW w:w="1620" w:type="dxa"/>
            <w:vMerge w:val="restart"/>
            <w:vAlign w:val="center"/>
          </w:tcPr>
          <w:p>
            <w:pPr>
              <w:pStyle w:val="38"/>
              <w:suppressLineNumbers w:val="0"/>
              <w:spacing w:before="0" w:beforeAutospacing="0" w:afterAutospacing="0"/>
              <w:ind w:left="0" w:right="0"/>
              <w:rPr>
                <w:rFonts w:hint="default" w:cs="Arial"/>
                <w:szCs w:val="18"/>
                <w:lang w:eastAsia="zh-CN"/>
              </w:rPr>
            </w:pPr>
            <w:r>
              <w:rPr>
                <w:rFonts w:hint="default" w:cs="Arial"/>
                <w:szCs w:val="18"/>
                <w:lang w:eastAsia="zh-CN"/>
              </w:rPr>
              <w:t>AAS based BS</w:t>
            </w:r>
          </w:p>
        </w:tc>
        <w:tc>
          <w:tcPr>
            <w:tcW w:w="2999"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Average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0.01</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0.01</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0.01</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0.01</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0.02</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8"/>
              <w:suppressLineNumbers w:val="0"/>
              <w:spacing w:before="0" w:beforeAutospacing="0" w:afterAutospacing="0"/>
              <w:ind w:left="0" w:right="0"/>
              <w:rPr>
                <w:rFonts w:hint="default" w:cs="Arial"/>
                <w:szCs w:val="18"/>
              </w:rPr>
            </w:pPr>
          </w:p>
        </w:tc>
        <w:tc>
          <w:tcPr>
            <w:tcW w:w="1620" w:type="dxa"/>
            <w:vMerge w:val="continue"/>
            <w:vAlign w:val="center"/>
          </w:tcPr>
          <w:p>
            <w:pPr>
              <w:pStyle w:val="38"/>
              <w:suppressLineNumbers w:val="0"/>
              <w:spacing w:before="0" w:beforeAutospacing="0" w:afterAutospacing="0"/>
              <w:ind w:left="0" w:right="0"/>
              <w:rPr>
                <w:rFonts w:hint="default" w:cs="Arial"/>
                <w:szCs w:val="18"/>
              </w:rPr>
            </w:pPr>
          </w:p>
        </w:tc>
        <w:tc>
          <w:tcPr>
            <w:tcW w:w="2999"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5%-tile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0.52</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0.52</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0.52</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0.52</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0.52</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8"/>
              <w:suppressLineNumbers w:val="0"/>
              <w:spacing w:before="0" w:beforeAutospacing="0" w:afterAutospacing="0"/>
              <w:ind w:left="0" w:right="0"/>
              <w:rPr>
                <w:rFonts w:hint="default" w:cs="Arial"/>
                <w:szCs w:val="18"/>
              </w:rPr>
            </w:pPr>
            <w:r>
              <w:rPr>
                <w:rFonts w:hint="eastAsia" w:cs="Arial"/>
                <w:szCs w:val="18"/>
                <w:lang w:val="en-US" w:eastAsia="zh-CN"/>
              </w:rPr>
              <w:t>1536 (0% indoor, 450m)</w:t>
            </w:r>
          </w:p>
        </w:tc>
        <w:tc>
          <w:tcPr>
            <w:tcW w:w="1620" w:type="dxa"/>
            <w:vMerge w:val="restart"/>
            <w:vAlign w:val="center"/>
          </w:tcPr>
          <w:p>
            <w:pPr>
              <w:pStyle w:val="38"/>
              <w:suppressLineNumbers w:val="0"/>
              <w:spacing w:before="0" w:beforeAutospacing="0" w:afterAutospacing="0"/>
              <w:ind w:left="0" w:right="0"/>
              <w:rPr>
                <w:rFonts w:hint="default" w:cs="Arial"/>
                <w:szCs w:val="18"/>
              </w:rPr>
            </w:pPr>
            <w:r>
              <w:rPr>
                <w:rFonts w:hint="default" w:cs="Arial"/>
                <w:szCs w:val="18"/>
                <w:lang w:eastAsia="zh-CN"/>
              </w:rPr>
              <w:t>AAS based BS</w:t>
            </w:r>
          </w:p>
        </w:tc>
        <w:tc>
          <w:tcPr>
            <w:tcW w:w="2999" w:type="dxa"/>
            <w:vAlign w:val="center"/>
          </w:tcPr>
          <w:p>
            <w:pPr>
              <w:pStyle w:val="38"/>
              <w:suppressLineNumbers w:val="0"/>
              <w:spacing w:before="0" w:beforeAutospacing="0" w:afterAutospacing="0"/>
              <w:ind w:left="0" w:leftChars="0" w:right="0" w:rightChars="0"/>
              <w:rPr>
                <w:rFonts w:hint="default" w:cs="Arial"/>
                <w:szCs w:val="18"/>
              </w:rPr>
            </w:pPr>
            <w:r>
              <w:rPr>
                <w:rFonts w:hint="default" w:cs="Arial"/>
                <w:szCs w:val="18"/>
              </w:rPr>
              <w:t xml:space="preserve">Average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highlight w:val="yellow"/>
                <w:u w:val="none"/>
                <w:lang w:val="en-US" w:eastAsia="zh-CN" w:bidi="ar"/>
              </w:rPr>
            </w:pPr>
            <w:r>
              <w:rPr>
                <w:rFonts w:hint="default" w:ascii="Calibri" w:hAnsi="Calibri" w:eastAsia="宋体" w:cs="Calibri"/>
                <w:i w:val="0"/>
                <w:iCs w:val="0"/>
                <w:color w:val="000000"/>
                <w:kern w:val="0"/>
                <w:sz w:val="22"/>
                <w:szCs w:val="22"/>
                <w:u w:val="none"/>
                <w:lang w:val="en-US" w:eastAsia="zh-CN" w:bidi="ar"/>
              </w:rPr>
              <w:t>0.01</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highlight w:val="yellow"/>
                <w:u w:val="none"/>
                <w:lang w:val="en-US" w:eastAsia="zh-CN" w:bidi="ar"/>
              </w:rPr>
            </w:pPr>
            <w:r>
              <w:rPr>
                <w:rFonts w:hint="default" w:ascii="Calibri" w:hAnsi="Calibri" w:eastAsia="宋体" w:cs="Calibri"/>
                <w:i w:val="0"/>
                <w:iCs w:val="0"/>
                <w:color w:val="000000"/>
                <w:kern w:val="0"/>
                <w:sz w:val="22"/>
                <w:szCs w:val="22"/>
                <w:u w:val="none"/>
                <w:lang w:val="en-US" w:eastAsia="zh-CN" w:bidi="ar"/>
              </w:rPr>
              <w:t>0.01</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highlight w:val="yellow"/>
                <w:u w:val="none"/>
                <w:lang w:val="en-US" w:eastAsia="zh-CN" w:bidi="ar"/>
              </w:rPr>
            </w:pPr>
            <w:r>
              <w:rPr>
                <w:rFonts w:hint="default" w:ascii="Calibri" w:hAnsi="Calibri" w:eastAsia="宋体" w:cs="Calibri"/>
                <w:i w:val="0"/>
                <w:iCs w:val="0"/>
                <w:color w:val="000000"/>
                <w:kern w:val="0"/>
                <w:sz w:val="22"/>
                <w:szCs w:val="22"/>
                <w:u w:val="none"/>
                <w:lang w:val="en-US" w:eastAsia="zh-CN" w:bidi="ar"/>
              </w:rPr>
              <w:t>0.01</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highlight w:val="yellow"/>
                <w:u w:val="none"/>
                <w:lang w:val="en-US" w:eastAsia="zh-CN" w:bidi="ar"/>
              </w:rPr>
            </w:pPr>
            <w:r>
              <w:rPr>
                <w:rFonts w:hint="default" w:ascii="Calibri" w:hAnsi="Calibri" w:eastAsia="宋体" w:cs="Calibri"/>
                <w:i w:val="0"/>
                <w:iCs w:val="0"/>
                <w:color w:val="000000"/>
                <w:kern w:val="0"/>
                <w:sz w:val="22"/>
                <w:szCs w:val="22"/>
                <w:u w:val="none"/>
                <w:lang w:val="en-US" w:eastAsia="zh-CN" w:bidi="ar"/>
              </w:rPr>
              <w:t>0.01</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highlight w:val="yellow"/>
                <w:u w:val="none"/>
                <w:lang w:val="en-US" w:eastAsia="zh-CN" w:bidi="ar"/>
              </w:rPr>
            </w:pPr>
            <w:r>
              <w:rPr>
                <w:rFonts w:hint="default" w:ascii="Calibri" w:hAnsi="Calibri" w:eastAsia="宋体" w:cs="Calibri"/>
                <w:i w:val="0"/>
                <w:iCs w:val="0"/>
                <w:color w:val="000000"/>
                <w:kern w:val="0"/>
                <w:sz w:val="22"/>
                <w:szCs w:val="22"/>
                <w:u w:val="none"/>
                <w:lang w:val="en-US" w:eastAsia="zh-CN" w:bidi="ar"/>
              </w:rPr>
              <w:t>0.01</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highlight w:val="yellow"/>
                <w:u w:val="none"/>
                <w:lang w:val="en-US" w:eastAsia="zh-CN" w:bidi="ar"/>
              </w:rPr>
            </w:pPr>
            <w:r>
              <w:rPr>
                <w:rFonts w:hint="default" w:ascii="Calibri" w:hAnsi="Calibri" w:eastAsia="宋体" w:cs="Calibri"/>
                <w:i w:val="0"/>
                <w:iCs w:val="0"/>
                <w:color w:val="000000"/>
                <w:kern w:val="0"/>
                <w:sz w:val="22"/>
                <w:szCs w:val="22"/>
                <w:u w:val="none"/>
                <w:lang w:val="en-US" w:eastAsia="zh-CN" w:bidi="ar"/>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8"/>
              <w:suppressLineNumbers w:val="0"/>
              <w:spacing w:before="0" w:beforeAutospacing="0" w:afterAutospacing="0"/>
              <w:ind w:left="0" w:right="0"/>
              <w:rPr>
                <w:rFonts w:hint="default" w:cs="Arial"/>
                <w:szCs w:val="18"/>
              </w:rPr>
            </w:pPr>
          </w:p>
        </w:tc>
        <w:tc>
          <w:tcPr>
            <w:tcW w:w="1620" w:type="dxa"/>
            <w:vMerge w:val="continue"/>
            <w:vAlign w:val="center"/>
          </w:tcPr>
          <w:p>
            <w:pPr>
              <w:pStyle w:val="38"/>
              <w:suppressLineNumbers w:val="0"/>
              <w:spacing w:before="0" w:beforeAutospacing="0" w:afterAutospacing="0"/>
              <w:ind w:left="0" w:right="0"/>
              <w:rPr>
                <w:rFonts w:hint="default" w:cs="Arial"/>
                <w:szCs w:val="18"/>
              </w:rPr>
            </w:pPr>
          </w:p>
        </w:tc>
        <w:tc>
          <w:tcPr>
            <w:tcW w:w="2999" w:type="dxa"/>
            <w:vAlign w:val="center"/>
          </w:tcPr>
          <w:p>
            <w:pPr>
              <w:pStyle w:val="38"/>
              <w:suppressLineNumbers w:val="0"/>
              <w:spacing w:before="0" w:beforeAutospacing="0" w:afterAutospacing="0"/>
              <w:ind w:left="0" w:leftChars="0" w:right="0" w:rightChars="0"/>
              <w:rPr>
                <w:rFonts w:hint="default" w:cs="Arial"/>
                <w:szCs w:val="18"/>
              </w:rPr>
            </w:pPr>
            <w:r>
              <w:rPr>
                <w:rFonts w:hint="default" w:cs="Arial"/>
                <w:szCs w:val="18"/>
              </w:rPr>
              <w:t xml:space="preserve">5%-tile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highlight w:val="yellow"/>
                <w:u w:val="none"/>
                <w:lang w:val="en-US" w:eastAsia="zh-CN" w:bidi="ar"/>
              </w:rPr>
            </w:pPr>
            <w:r>
              <w:rPr>
                <w:rFonts w:hint="default" w:ascii="Calibri" w:hAnsi="Calibri" w:eastAsia="宋体" w:cs="Calibri"/>
                <w:i w:val="0"/>
                <w:iCs w:val="0"/>
                <w:color w:val="000000"/>
                <w:kern w:val="0"/>
                <w:sz w:val="22"/>
                <w:szCs w:val="22"/>
                <w:u w:val="none"/>
                <w:lang w:val="en-US" w:eastAsia="zh-CN" w:bidi="ar"/>
              </w:rPr>
              <w:t>0.95</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highlight w:val="yellow"/>
                <w:u w:val="none"/>
                <w:lang w:val="en-US" w:eastAsia="zh-CN" w:bidi="ar"/>
              </w:rPr>
            </w:pPr>
            <w:r>
              <w:rPr>
                <w:rFonts w:hint="default" w:ascii="Calibri" w:hAnsi="Calibri" w:eastAsia="宋体" w:cs="Calibri"/>
                <w:i w:val="0"/>
                <w:iCs w:val="0"/>
                <w:color w:val="000000"/>
                <w:kern w:val="0"/>
                <w:sz w:val="22"/>
                <w:szCs w:val="22"/>
                <w:u w:val="none"/>
                <w:lang w:val="en-US" w:eastAsia="zh-CN" w:bidi="ar"/>
              </w:rPr>
              <w:t>1.12</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highlight w:val="yellow"/>
                <w:u w:val="none"/>
                <w:lang w:val="en-US" w:eastAsia="zh-CN" w:bidi="ar"/>
              </w:rPr>
            </w:pPr>
            <w:r>
              <w:rPr>
                <w:rFonts w:hint="default" w:ascii="Calibri" w:hAnsi="Calibri" w:eastAsia="宋体" w:cs="Calibri"/>
                <w:i w:val="0"/>
                <w:iCs w:val="0"/>
                <w:color w:val="000000"/>
                <w:kern w:val="0"/>
                <w:sz w:val="22"/>
                <w:szCs w:val="22"/>
                <w:u w:val="none"/>
                <w:lang w:val="en-US" w:eastAsia="zh-CN" w:bidi="ar"/>
              </w:rPr>
              <w:t>1.19</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highlight w:val="yellow"/>
                <w:u w:val="none"/>
                <w:lang w:val="en-US" w:eastAsia="zh-CN" w:bidi="ar"/>
              </w:rPr>
            </w:pPr>
            <w:r>
              <w:rPr>
                <w:rFonts w:hint="default" w:ascii="Calibri" w:hAnsi="Calibri" w:eastAsia="宋体" w:cs="Calibri"/>
                <w:i w:val="0"/>
                <w:iCs w:val="0"/>
                <w:color w:val="000000"/>
                <w:kern w:val="0"/>
                <w:sz w:val="22"/>
                <w:szCs w:val="22"/>
                <w:u w:val="none"/>
                <w:lang w:val="en-US" w:eastAsia="zh-CN" w:bidi="ar"/>
              </w:rPr>
              <w:t>1.44</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highlight w:val="yellow"/>
                <w:u w:val="none"/>
                <w:lang w:val="en-US" w:eastAsia="zh-CN" w:bidi="ar"/>
              </w:rPr>
            </w:pPr>
            <w:r>
              <w:rPr>
                <w:rFonts w:hint="default" w:ascii="Calibri" w:hAnsi="Calibri" w:eastAsia="宋体" w:cs="Calibri"/>
                <w:i w:val="0"/>
                <w:iCs w:val="0"/>
                <w:color w:val="000000"/>
                <w:kern w:val="0"/>
                <w:sz w:val="22"/>
                <w:szCs w:val="22"/>
                <w:u w:val="none"/>
                <w:lang w:val="en-US" w:eastAsia="zh-CN" w:bidi="ar"/>
              </w:rPr>
              <w:t>1.86</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highlight w:val="yellow"/>
                <w:u w:val="none"/>
                <w:lang w:val="en-US" w:eastAsia="zh-CN" w:bidi="ar"/>
              </w:rPr>
            </w:pPr>
            <w:r>
              <w:rPr>
                <w:rFonts w:hint="default" w:ascii="Calibri" w:hAnsi="Calibri" w:eastAsia="宋体" w:cs="Calibri"/>
                <w:i w:val="0"/>
                <w:iCs w:val="0"/>
                <w:color w:val="000000"/>
                <w:kern w:val="0"/>
                <w:sz w:val="22"/>
                <w:szCs w:val="22"/>
                <w:u w:val="none"/>
                <w:lang w:val="en-US" w:eastAsia="zh-CN" w:bidi="ar"/>
              </w:rP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8"/>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2048 (20% indoor, 450m)</w:t>
            </w:r>
          </w:p>
        </w:tc>
        <w:tc>
          <w:tcPr>
            <w:tcW w:w="1620" w:type="dxa"/>
            <w:vMerge w:val="restart"/>
            <w:vAlign w:val="center"/>
          </w:tcPr>
          <w:p>
            <w:pPr>
              <w:pStyle w:val="38"/>
              <w:suppressLineNumbers w:val="0"/>
              <w:spacing w:before="0" w:beforeAutospacing="0" w:afterAutospacing="0"/>
              <w:ind w:left="0" w:right="0"/>
              <w:rPr>
                <w:rFonts w:hint="default" w:cs="Arial"/>
                <w:szCs w:val="18"/>
                <w:lang w:eastAsia="zh-CN"/>
              </w:rPr>
            </w:pPr>
            <w:r>
              <w:rPr>
                <w:rFonts w:hint="default" w:cs="Arial"/>
                <w:szCs w:val="18"/>
                <w:lang w:eastAsia="zh-CN"/>
              </w:rPr>
              <w:t>AAS based BS</w:t>
            </w:r>
          </w:p>
        </w:tc>
        <w:tc>
          <w:tcPr>
            <w:tcW w:w="2999"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Average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0.00</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0.01</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0.01</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0.01</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0.01</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8"/>
              <w:suppressLineNumbers w:val="0"/>
              <w:spacing w:before="0" w:beforeAutospacing="0" w:afterAutospacing="0"/>
              <w:ind w:left="0" w:right="0"/>
              <w:rPr>
                <w:rFonts w:hint="default" w:cs="Arial"/>
                <w:szCs w:val="18"/>
              </w:rPr>
            </w:pPr>
          </w:p>
        </w:tc>
        <w:tc>
          <w:tcPr>
            <w:tcW w:w="1620" w:type="dxa"/>
            <w:vMerge w:val="continue"/>
            <w:vAlign w:val="center"/>
          </w:tcPr>
          <w:p>
            <w:pPr>
              <w:pStyle w:val="38"/>
              <w:suppressLineNumbers w:val="0"/>
              <w:spacing w:before="0" w:beforeAutospacing="0" w:afterAutospacing="0"/>
              <w:ind w:left="0" w:right="0"/>
              <w:rPr>
                <w:rFonts w:hint="default" w:cs="Arial"/>
                <w:szCs w:val="18"/>
              </w:rPr>
            </w:pPr>
          </w:p>
        </w:tc>
        <w:tc>
          <w:tcPr>
            <w:tcW w:w="2999"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5%-tile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2.23</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2.23</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2.23</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2.74</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2.74</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color w:val="0000FF"/>
                <w:szCs w:val="18"/>
                <w:highlight w:val="yellow"/>
              </w:rPr>
            </w:pPr>
            <w:r>
              <w:rPr>
                <w:rFonts w:hint="default" w:ascii="Calibri" w:hAnsi="Calibri" w:eastAsia="宋体" w:cs="Calibri"/>
                <w:i w:val="0"/>
                <w:iCs w:val="0"/>
                <w:color w:val="000000"/>
                <w:kern w:val="0"/>
                <w:sz w:val="22"/>
                <w:szCs w:val="22"/>
                <w:u w:val="none"/>
                <w:lang w:val="en-US" w:eastAsia="zh-CN" w:bidi="ar"/>
              </w:rPr>
              <w:t>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8"/>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2048 (0% indoor, 450m)</w:t>
            </w:r>
          </w:p>
        </w:tc>
        <w:tc>
          <w:tcPr>
            <w:tcW w:w="1620" w:type="dxa"/>
            <w:vMerge w:val="restart"/>
            <w:vAlign w:val="center"/>
          </w:tcPr>
          <w:p>
            <w:pPr>
              <w:pStyle w:val="38"/>
              <w:suppressLineNumbers w:val="0"/>
              <w:spacing w:before="0" w:beforeAutospacing="0" w:afterAutospacing="0"/>
              <w:ind w:left="0" w:right="0"/>
              <w:rPr>
                <w:rFonts w:hint="default" w:cs="Arial"/>
                <w:szCs w:val="18"/>
                <w:lang w:eastAsia="zh-CN"/>
              </w:rPr>
            </w:pPr>
            <w:r>
              <w:rPr>
                <w:rFonts w:hint="default" w:cs="Arial"/>
                <w:szCs w:val="18"/>
                <w:lang w:eastAsia="zh-CN"/>
              </w:rPr>
              <w:t>AAS based BS</w:t>
            </w:r>
          </w:p>
        </w:tc>
        <w:tc>
          <w:tcPr>
            <w:tcW w:w="2999"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Average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highlight w:val="yellow"/>
              </w:rPr>
            </w:pPr>
            <w:r>
              <w:rPr>
                <w:rFonts w:hint="default" w:ascii="Calibri" w:hAnsi="Calibri" w:eastAsia="宋体" w:cs="Calibri"/>
                <w:i w:val="0"/>
                <w:iCs w:val="0"/>
                <w:color w:val="000000"/>
                <w:kern w:val="0"/>
                <w:sz w:val="22"/>
                <w:szCs w:val="22"/>
                <w:u w:val="none"/>
                <w:lang w:val="en-US" w:eastAsia="zh-CN" w:bidi="ar"/>
              </w:rPr>
              <w:t>0.00</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highlight w:val="yellow"/>
              </w:rPr>
            </w:pPr>
            <w:r>
              <w:rPr>
                <w:rFonts w:hint="default" w:ascii="Calibri" w:hAnsi="Calibri" w:eastAsia="宋体" w:cs="Calibri"/>
                <w:i w:val="0"/>
                <w:iCs w:val="0"/>
                <w:color w:val="000000"/>
                <w:kern w:val="0"/>
                <w:sz w:val="22"/>
                <w:szCs w:val="22"/>
                <w:u w:val="none"/>
                <w:lang w:val="en-US" w:eastAsia="zh-CN" w:bidi="ar"/>
              </w:rPr>
              <w:t>0.00</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highlight w:val="yellow"/>
              </w:rPr>
            </w:pPr>
            <w:r>
              <w:rPr>
                <w:rFonts w:hint="default" w:ascii="Calibri" w:hAnsi="Calibri" w:eastAsia="宋体" w:cs="Calibri"/>
                <w:i w:val="0"/>
                <w:iCs w:val="0"/>
                <w:color w:val="000000"/>
                <w:kern w:val="0"/>
                <w:sz w:val="22"/>
                <w:szCs w:val="22"/>
                <w:u w:val="none"/>
                <w:lang w:val="en-US" w:eastAsia="zh-CN" w:bidi="ar"/>
              </w:rPr>
              <w:t>0.00</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highlight w:val="yellow"/>
              </w:rPr>
            </w:pPr>
            <w:r>
              <w:rPr>
                <w:rFonts w:hint="default" w:ascii="Calibri" w:hAnsi="Calibri" w:eastAsia="宋体" w:cs="Calibri"/>
                <w:i w:val="0"/>
                <w:iCs w:val="0"/>
                <w:color w:val="000000"/>
                <w:kern w:val="0"/>
                <w:sz w:val="22"/>
                <w:szCs w:val="22"/>
                <w:u w:val="none"/>
                <w:lang w:val="en-US" w:eastAsia="zh-CN" w:bidi="ar"/>
              </w:rPr>
              <w:t>0.00</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highlight w:val="yellow"/>
              </w:rPr>
            </w:pPr>
            <w:r>
              <w:rPr>
                <w:rFonts w:hint="default" w:ascii="Calibri" w:hAnsi="Calibri" w:eastAsia="宋体" w:cs="Calibri"/>
                <w:i w:val="0"/>
                <w:iCs w:val="0"/>
                <w:color w:val="000000"/>
                <w:kern w:val="0"/>
                <w:sz w:val="22"/>
                <w:szCs w:val="22"/>
                <w:u w:val="none"/>
                <w:lang w:val="en-US" w:eastAsia="zh-CN" w:bidi="ar"/>
              </w:rPr>
              <w:t>0.01</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highlight w:val="yellow"/>
              </w:rPr>
            </w:pPr>
            <w:r>
              <w:rPr>
                <w:rFonts w:hint="default" w:ascii="Calibri" w:hAnsi="Calibri" w:eastAsia="宋体" w:cs="Calibri"/>
                <w:i w:val="0"/>
                <w:iCs w:val="0"/>
                <w:color w:val="000000"/>
                <w:kern w:val="0"/>
                <w:sz w:val="22"/>
                <w:szCs w:val="22"/>
                <w:u w:val="none"/>
                <w:lang w:val="en-US" w:eastAsia="zh-CN" w:bidi="ar"/>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8"/>
              <w:suppressLineNumbers w:val="0"/>
              <w:spacing w:before="0" w:beforeAutospacing="0" w:afterAutospacing="0"/>
              <w:ind w:left="0" w:right="0"/>
              <w:rPr>
                <w:rFonts w:hint="default" w:cs="Arial"/>
                <w:szCs w:val="18"/>
              </w:rPr>
            </w:pPr>
          </w:p>
        </w:tc>
        <w:tc>
          <w:tcPr>
            <w:tcW w:w="1620" w:type="dxa"/>
            <w:vMerge w:val="continue"/>
            <w:vAlign w:val="center"/>
          </w:tcPr>
          <w:p>
            <w:pPr>
              <w:pStyle w:val="38"/>
              <w:suppressLineNumbers w:val="0"/>
              <w:spacing w:before="0" w:beforeAutospacing="0" w:afterAutospacing="0"/>
              <w:ind w:left="0" w:right="0"/>
              <w:rPr>
                <w:rFonts w:hint="default" w:cs="Arial"/>
                <w:szCs w:val="18"/>
              </w:rPr>
            </w:pPr>
          </w:p>
        </w:tc>
        <w:tc>
          <w:tcPr>
            <w:tcW w:w="2999"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5%-tile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highlight w:val="yellow"/>
              </w:rPr>
            </w:pPr>
            <w:r>
              <w:rPr>
                <w:rFonts w:hint="default" w:ascii="Calibri" w:hAnsi="Calibri" w:eastAsia="宋体" w:cs="Calibri"/>
                <w:i w:val="0"/>
                <w:iCs w:val="0"/>
                <w:color w:val="000000"/>
                <w:kern w:val="0"/>
                <w:sz w:val="22"/>
                <w:szCs w:val="22"/>
                <w:u w:val="none"/>
                <w:lang w:val="en-US" w:eastAsia="zh-CN" w:bidi="ar"/>
              </w:rPr>
              <w:t>0.84</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highlight w:val="yellow"/>
              </w:rPr>
            </w:pPr>
            <w:r>
              <w:rPr>
                <w:rFonts w:hint="default" w:ascii="Calibri" w:hAnsi="Calibri" w:eastAsia="宋体" w:cs="Calibri"/>
                <w:i w:val="0"/>
                <w:iCs w:val="0"/>
                <w:color w:val="000000"/>
                <w:kern w:val="0"/>
                <w:sz w:val="22"/>
                <w:szCs w:val="22"/>
                <w:u w:val="none"/>
                <w:lang w:val="en-US" w:eastAsia="zh-CN" w:bidi="ar"/>
              </w:rPr>
              <w:t>0.87</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highlight w:val="yellow"/>
              </w:rPr>
            </w:pPr>
            <w:r>
              <w:rPr>
                <w:rFonts w:hint="default" w:ascii="Calibri" w:hAnsi="Calibri" w:eastAsia="宋体" w:cs="Calibri"/>
                <w:i w:val="0"/>
                <w:iCs w:val="0"/>
                <w:color w:val="000000"/>
                <w:kern w:val="0"/>
                <w:sz w:val="22"/>
                <w:szCs w:val="22"/>
                <w:u w:val="none"/>
                <w:lang w:val="en-US" w:eastAsia="zh-CN" w:bidi="ar"/>
              </w:rPr>
              <w:t>1.36</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highlight w:val="yellow"/>
              </w:rPr>
            </w:pPr>
            <w:r>
              <w:rPr>
                <w:rFonts w:hint="default" w:ascii="Calibri" w:hAnsi="Calibri" w:eastAsia="宋体" w:cs="Calibri"/>
                <w:i w:val="0"/>
                <w:iCs w:val="0"/>
                <w:color w:val="000000"/>
                <w:kern w:val="0"/>
                <w:sz w:val="22"/>
                <w:szCs w:val="22"/>
                <w:u w:val="none"/>
                <w:lang w:val="en-US" w:eastAsia="zh-CN" w:bidi="ar"/>
              </w:rPr>
              <w:t>1.75</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highlight w:val="yellow"/>
              </w:rPr>
            </w:pPr>
            <w:r>
              <w:rPr>
                <w:rFonts w:hint="default" w:ascii="Calibri" w:hAnsi="Calibri" w:eastAsia="宋体" w:cs="Calibri"/>
                <w:i w:val="0"/>
                <w:iCs w:val="0"/>
                <w:color w:val="000000"/>
                <w:kern w:val="0"/>
                <w:sz w:val="22"/>
                <w:szCs w:val="22"/>
                <w:u w:val="none"/>
                <w:lang w:val="en-US" w:eastAsia="zh-CN" w:bidi="ar"/>
              </w:rPr>
              <w:t>2.11</w:t>
            </w:r>
          </w:p>
        </w:tc>
        <w:tc>
          <w:tcPr>
            <w:tcW w:w="718" w:type="dxa"/>
            <w:vAlign w:val="bottom"/>
          </w:tcPr>
          <w:p>
            <w:pPr>
              <w:keepNext w:val="0"/>
              <w:keepLines w:val="0"/>
              <w:widowControl/>
              <w:suppressLineNumbers w:val="0"/>
              <w:spacing w:before="0" w:beforeAutospacing="0" w:afterAutospacing="0"/>
              <w:ind w:left="0" w:right="0"/>
              <w:jc w:val="right"/>
              <w:textAlignment w:val="bottom"/>
              <w:rPr>
                <w:rFonts w:hint="default" w:cs="Arial"/>
                <w:szCs w:val="18"/>
                <w:highlight w:val="yellow"/>
              </w:rPr>
            </w:pPr>
            <w:r>
              <w:rPr>
                <w:rFonts w:hint="default" w:ascii="Calibri" w:hAnsi="Calibri" w:eastAsia="宋体" w:cs="Calibri"/>
                <w:i w:val="0"/>
                <w:iCs w:val="0"/>
                <w:color w:val="000000"/>
                <w:kern w:val="0"/>
                <w:sz w:val="22"/>
                <w:szCs w:val="22"/>
                <w:u w:val="none"/>
                <w:lang w:val="en-US" w:eastAsia="zh-CN" w:bidi="ar"/>
              </w:rPr>
              <w:t>2.69</w:t>
            </w:r>
          </w:p>
        </w:tc>
      </w:tr>
    </w:tbl>
    <w:p>
      <w:pPr>
        <w:widowControl/>
        <w:jc w:val="both"/>
        <w:rPr>
          <w:rFonts w:hint="default"/>
          <w:lang w:val="en-US" w:eastAsia="zh-CN"/>
        </w:rPr>
      </w:pPr>
    </w:p>
    <w:p>
      <w:pPr>
        <w:widowControl/>
        <w:jc w:val="both"/>
        <w:rPr>
          <w:rFonts w:hint="default"/>
          <w:lang w:val="en-US" w:eastAsia="zh-CN"/>
        </w:rPr>
      </w:pPr>
      <w:r>
        <w:rPr>
          <w:rFonts w:hint="eastAsia"/>
          <w:b/>
          <w:bCs/>
          <w:lang w:val="en-US" w:eastAsia="zh-CN"/>
        </w:rPr>
        <w:t>Observation 4</w:t>
      </w:r>
      <w:r>
        <w:rPr>
          <w:rFonts w:hint="eastAsia"/>
          <w:lang w:val="en-US" w:eastAsia="zh-CN"/>
        </w:rPr>
        <w:t>: based on the FR2 like UE assumption, UL ACIR requirement could be relaxed around 10dB in Urban macro scenario.</w:t>
      </w:r>
    </w:p>
    <w:p>
      <w:pPr>
        <w:keepNext w:val="0"/>
        <w:keepLines w:val="0"/>
        <w:pageBreakBefore w:val="0"/>
        <w:widowControl w:val="0"/>
        <w:kinsoku/>
        <w:wordWrap/>
        <w:overflowPunct/>
        <w:topLinePunct w:val="0"/>
        <w:autoSpaceDE/>
        <w:autoSpaceDN/>
        <w:bidi w:val="0"/>
        <w:adjustRightInd/>
        <w:snapToGrid/>
        <w:spacing w:line="260" w:lineRule="auto"/>
        <w:jc w:val="left"/>
        <w:textAlignment w:val="auto"/>
        <w:outlineLvl w:val="2"/>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lang w:val="en-US" w:eastAsia="zh-CN"/>
        </w:rPr>
        <w:t>2.</w:t>
      </w:r>
      <w:r>
        <w:rPr>
          <w:rFonts w:hint="eastAsia" w:ascii="Arial" w:hAnsi="Arial" w:cs="Arial"/>
          <w:sz w:val="28"/>
          <w:szCs w:val="28"/>
        </w:rPr>
        <w:t xml:space="preserve"> </w:t>
      </w:r>
      <w:r>
        <w:rPr>
          <w:rFonts w:hint="eastAsia" w:ascii="Arial" w:hAnsi="Arial" w:cs="Arial"/>
          <w:sz w:val="28"/>
          <w:szCs w:val="28"/>
          <w:lang w:val="en-US" w:eastAsia="zh-CN"/>
        </w:rPr>
        <w:t>Indoor scenario</w:t>
      </w:r>
    </w:p>
    <w:p>
      <w:pPr>
        <w:widowControl/>
        <w:jc w:val="left"/>
        <w:rPr>
          <w:rFonts w:hint="eastAsia" w:cs="Times New Roman"/>
          <w:b w:val="0"/>
          <w:bCs w:val="0"/>
          <w:lang w:val="en-US" w:eastAsia="zh-CN"/>
        </w:rPr>
      </w:pPr>
      <w:r>
        <w:rPr>
          <w:rFonts w:hint="eastAsia" w:cs="Times New Roman"/>
          <w:b w:val="0"/>
          <w:bCs w:val="0"/>
          <w:lang w:val="en-US" w:eastAsia="zh-CN"/>
        </w:rPr>
        <w:t xml:space="preserve">This is depends on the simulation assumptions for indoor hotpot scenarios, more simulation results would be provided once the simulation assumptions are stable. </w:t>
      </w:r>
    </w:p>
    <w:p>
      <w:pPr>
        <w:widowControl/>
        <w:jc w:val="left"/>
        <w:rPr>
          <w:rFonts w:hint="default" w:cs="Times New Roman"/>
          <w:b/>
          <w:bCs/>
          <w:lang w:val="en-US" w:eastAsia="zh-CN"/>
        </w:rPr>
      </w:pPr>
      <w:r>
        <w:rPr>
          <w:rFonts w:hint="eastAsia" w:cs="Times New Roman"/>
          <w:b/>
          <w:bCs/>
          <w:lang w:val="en-US" w:eastAsia="zh-CN"/>
        </w:rPr>
        <w:t>FR1 like UE assumption: 23dBm</w:t>
      </w:r>
    </w:p>
    <w:p>
      <w:pPr>
        <w:pStyle w:val="47"/>
        <w:rPr>
          <w:rFonts w:hint="default" w:eastAsia="宋体"/>
          <w:lang w:val="en-US" w:eastAsia="zh-CN"/>
        </w:rPr>
      </w:pPr>
      <w:r>
        <w:rPr>
          <w:rFonts w:hint="eastAsia"/>
          <w:lang w:val="en-US" w:eastAsia="zh-CN"/>
        </w:rPr>
        <w:t>Table 2.2.2-1.D</w:t>
      </w:r>
      <w:r>
        <w:rPr>
          <w:rFonts w:hint="eastAsia"/>
          <w:lang w:val="en-US"/>
        </w:rPr>
        <w:t>L</w:t>
      </w:r>
      <w:r>
        <w:t xml:space="preserve"> throughput loss of victim </w:t>
      </w:r>
      <w:r>
        <w:rPr>
          <w:rFonts w:hint="eastAsia"/>
          <w:lang w:val="en-US"/>
        </w:rPr>
        <w:t xml:space="preserve">BS for </w:t>
      </w:r>
      <w:r>
        <w:rPr>
          <w:rFonts w:hint="eastAsia"/>
          <w:lang w:val="en-US" w:eastAsia="en-US"/>
        </w:rPr>
        <w:t>14800 to 15350 MHz</w:t>
      </w:r>
      <w:r>
        <w:rPr>
          <w:rFonts w:hint="eastAsia"/>
          <w:lang w:val="en-US" w:eastAsia="zh-CN"/>
        </w:rPr>
        <w:t xml:space="preserve"> </w:t>
      </w:r>
      <w:r>
        <w:rPr>
          <w:rFonts w:hint="eastAsia"/>
          <w:lang w:val="en-US"/>
        </w:rPr>
        <w:t>[Relative ACIR value]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755"/>
        <w:gridCol w:w="3199"/>
        <w:gridCol w:w="607"/>
        <w:gridCol w:w="607"/>
        <w:gridCol w:w="607"/>
        <w:gridCol w:w="607"/>
        <w:gridCol w:w="607"/>
        <w:gridCol w:w="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7"/>
              <w:suppressLineNumbers w:val="0"/>
              <w:spacing w:before="0" w:beforeAutospacing="0" w:afterAutospacing="0"/>
              <w:ind w:left="0" w:right="0"/>
              <w:rPr>
                <w:rFonts w:hint="default"/>
                <w:lang w:val="en-US" w:eastAsia="zh-CN"/>
              </w:rPr>
            </w:pPr>
            <w:r>
              <w:rPr>
                <w:rFonts w:hint="eastAsia"/>
                <w:lang w:val="en-US" w:eastAsia="zh-CN"/>
              </w:rPr>
              <w:t xml:space="preserve">Antenna configuration  </w:t>
            </w:r>
          </w:p>
        </w:tc>
        <w:tc>
          <w:tcPr>
            <w:tcW w:w="1755" w:type="dxa"/>
            <w:vMerge w:val="restart"/>
            <w:vAlign w:val="center"/>
          </w:tcPr>
          <w:p>
            <w:pPr>
              <w:pStyle w:val="37"/>
              <w:suppressLineNumbers w:val="0"/>
              <w:spacing w:before="0" w:beforeAutospacing="0" w:afterAutospacing="0"/>
              <w:ind w:left="0" w:right="0"/>
              <w:rPr>
                <w:rFonts w:hint="default"/>
                <w:lang w:eastAsia="zh-CN"/>
              </w:rPr>
            </w:pPr>
            <w:r>
              <w:rPr>
                <w:rFonts w:hint="eastAsia"/>
                <w:lang w:eastAsia="zh-CN"/>
              </w:rPr>
              <w:t>Simulation scenarios</w:t>
            </w:r>
          </w:p>
        </w:tc>
        <w:tc>
          <w:tcPr>
            <w:tcW w:w="0" w:type="auto"/>
            <w:vMerge w:val="restart"/>
            <w:vAlign w:val="center"/>
          </w:tcPr>
          <w:p>
            <w:pPr>
              <w:pStyle w:val="37"/>
              <w:suppressLineNumbers w:val="0"/>
              <w:spacing w:before="0" w:beforeAutospacing="0" w:afterAutospacing="0"/>
              <w:ind w:left="0" w:right="0"/>
              <w:rPr>
                <w:rFonts w:hint="default"/>
                <w:lang w:eastAsia="zh-CN"/>
              </w:rPr>
            </w:pPr>
            <w:r>
              <w:rPr>
                <w:rFonts w:hint="eastAsia"/>
                <w:lang w:eastAsia="zh-CN"/>
              </w:rPr>
              <w:t>Throughput loss</w:t>
            </w:r>
          </w:p>
        </w:tc>
        <w:tc>
          <w:tcPr>
            <w:tcW w:w="0" w:type="auto"/>
            <w:gridSpan w:val="6"/>
          </w:tcPr>
          <w:p>
            <w:pPr>
              <w:pStyle w:val="37"/>
              <w:suppressLineNumbers w:val="0"/>
              <w:spacing w:before="0" w:beforeAutospacing="0" w:afterAutospacing="0"/>
              <w:ind w:left="0" w:right="0"/>
              <w:rPr>
                <w:rFonts w:hint="default"/>
                <w:lang w:eastAsia="zh-CN"/>
              </w:rPr>
            </w:pPr>
            <w:r>
              <w:rPr>
                <w:rFonts w:hint="eastAsia"/>
                <w:lang w:eastAsia="zh-CN"/>
              </w:rPr>
              <w:t>Relative ACIR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7"/>
              <w:suppressLineNumbers w:val="0"/>
              <w:spacing w:before="0" w:beforeAutospacing="0" w:afterAutospacing="0"/>
              <w:ind w:left="0" w:right="0"/>
              <w:rPr>
                <w:rFonts w:hint="default"/>
                <w:lang w:eastAsia="zh-CN"/>
              </w:rPr>
            </w:pPr>
          </w:p>
        </w:tc>
        <w:tc>
          <w:tcPr>
            <w:tcW w:w="1755" w:type="dxa"/>
            <w:vMerge w:val="continue"/>
            <w:vAlign w:val="center"/>
          </w:tcPr>
          <w:p>
            <w:pPr>
              <w:pStyle w:val="37"/>
              <w:suppressLineNumbers w:val="0"/>
              <w:spacing w:before="0" w:beforeAutospacing="0" w:afterAutospacing="0"/>
              <w:ind w:left="0" w:right="0"/>
              <w:rPr>
                <w:rFonts w:hint="default"/>
                <w:lang w:eastAsia="zh-CN"/>
              </w:rPr>
            </w:pPr>
          </w:p>
        </w:tc>
        <w:tc>
          <w:tcPr>
            <w:tcW w:w="0" w:type="auto"/>
            <w:vMerge w:val="continue"/>
            <w:vAlign w:val="center"/>
          </w:tcPr>
          <w:p>
            <w:pPr>
              <w:pStyle w:val="37"/>
              <w:suppressLineNumbers w:val="0"/>
              <w:spacing w:before="0" w:beforeAutospacing="0" w:afterAutospacing="0"/>
              <w:ind w:left="0" w:right="0"/>
              <w:rPr>
                <w:rFonts w:hint="default"/>
                <w:lang w:eastAsia="zh-CN"/>
              </w:rPr>
            </w:pPr>
          </w:p>
        </w:tc>
        <w:tc>
          <w:tcPr>
            <w:tcW w:w="0" w:type="auto"/>
          </w:tcPr>
          <w:p>
            <w:pPr>
              <w:pStyle w:val="37"/>
              <w:suppressLineNumbers w:val="0"/>
              <w:spacing w:before="0" w:beforeAutospacing="0" w:afterAutospacing="0"/>
              <w:ind w:left="0" w:right="0"/>
              <w:rPr>
                <w:rFonts w:hint="default"/>
              </w:rPr>
            </w:pPr>
            <w:r>
              <w:rPr>
                <w:rFonts w:hint="default"/>
              </w:rPr>
              <w:t>0</w:t>
            </w:r>
          </w:p>
        </w:tc>
        <w:tc>
          <w:tcPr>
            <w:tcW w:w="0" w:type="auto"/>
          </w:tcPr>
          <w:p>
            <w:pPr>
              <w:pStyle w:val="37"/>
              <w:suppressLineNumbers w:val="0"/>
              <w:spacing w:before="0" w:beforeAutospacing="0" w:afterAutospacing="0"/>
              <w:ind w:left="0" w:right="0"/>
              <w:rPr>
                <w:rFonts w:hint="eastAsia" w:eastAsia="宋体"/>
                <w:lang w:eastAsia="zh-CN"/>
              </w:rPr>
            </w:pPr>
            <w:r>
              <w:rPr>
                <w:rFonts w:hint="default"/>
              </w:rPr>
              <w:t>-</w:t>
            </w:r>
            <w:r>
              <w:rPr>
                <w:rFonts w:hint="eastAsia" w:eastAsia="宋体"/>
                <w:lang w:val="en-US" w:eastAsia="zh-CN"/>
              </w:rPr>
              <w:t>2</w:t>
            </w:r>
          </w:p>
        </w:tc>
        <w:tc>
          <w:tcPr>
            <w:tcW w:w="0" w:type="auto"/>
          </w:tcPr>
          <w:p>
            <w:pPr>
              <w:pStyle w:val="37"/>
              <w:suppressLineNumbers w:val="0"/>
              <w:spacing w:before="0" w:beforeAutospacing="0" w:afterAutospacing="0"/>
              <w:ind w:left="0" w:right="0"/>
              <w:rPr>
                <w:rFonts w:hint="eastAsia" w:eastAsia="宋体"/>
                <w:lang w:eastAsia="zh-CN"/>
              </w:rPr>
            </w:pPr>
            <w:r>
              <w:rPr>
                <w:rFonts w:hint="default"/>
              </w:rPr>
              <w:t>-</w:t>
            </w:r>
            <w:r>
              <w:rPr>
                <w:rFonts w:hint="eastAsia" w:eastAsia="宋体"/>
                <w:lang w:val="en-US" w:eastAsia="zh-CN"/>
              </w:rPr>
              <w:t>4</w:t>
            </w:r>
          </w:p>
        </w:tc>
        <w:tc>
          <w:tcPr>
            <w:tcW w:w="0" w:type="auto"/>
          </w:tcPr>
          <w:p>
            <w:pPr>
              <w:pStyle w:val="37"/>
              <w:suppressLineNumbers w:val="0"/>
              <w:spacing w:before="0" w:beforeAutospacing="0" w:afterAutospacing="0"/>
              <w:ind w:left="0" w:right="0"/>
              <w:rPr>
                <w:rFonts w:hint="eastAsia" w:eastAsia="宋体"/>
                <w:lang w:eastAsia="zh-CN"/>
              </w:rPr>
            </w:pPr>
            <w:r>
              <w:rPr>
                <w:rFonts w:hint="default"/>
              </w:rPr>
              <w:t>-</w:t>
            </w:r>
            <w:r>
              <w:rPr>
                <w:rFonts w:hint="eastAsia" w:eastAsia="宋体"/>
                <w:lang w:val="en-US" w:eastAsia="zh-CN"/>
              </w:rPr>
              <w:t>6</w:t>
            </w:r>
          </w:p>
        </w:tc>
        <w:tc>
          <w:tcPr>
            <w:tcW w:w="0" w:type="auto"/>
          </w:tcPr>
          <w:p>
            <w:pPr>
              <w:pStyle w:val="37"/>
              <w:suppressLineNumbers w:val="0"/>
              <w:spacing w:before="0" w:beforeAutospacing="0" w:afterAutospacing="0"/>
              <w:ind w:left="0" w:right="0"/>
              <w:rPr>
                <w:rFonts w:hint="eastAsia" w:eastAsia="宋体"/>
                <w:lang w:eastAsia="zh-CN"/>
              </w:rPr>
            </w:pPr>
            <w:r>
              <w:rPr>
                <w:rFonts w:hint="default"/>
              </w:rPr>
              <w:t>-</w:t>
            </w:r>
            <w:r>
              <w:rPr>
                <w:rFonts w:hint="eastAsia" w:eastAsia="宋体"/>
                <w:lang w:val="en-US" w:eastAsia="zh-CN"/>
              </w:rPr>
              <w:t>8</w:t>
            </w:r>
          </w:p>
        </w:tc>
        <w:tc>
          <w:tcPr>
            <w:tcW w:w="0" w:type="auto"/>
          </w:tcPr>
          <w:p>
            <w:pPr>
              <w:pStyle w:val="37"/>
              <w:suppressLineNumbers w:val="0"/>
              <w:spacing w:before="0" w:beforeAutospacing="0" w:afterAutospacing="0"/>
              <w:ind w:left="0" w:right="0"/>
              <w:rPr>
                <w:rFonts w:hint="default" w:eastAsia="宋体"/>
                <w:lang w:val="en-US" w:eastAsia="zh-CN"/>
              </w:rPr>
            </w:pPr>
            <w:r>
              <w:rPr>
                <w:rFonts w:hint="default"/>
              </w:rPr>
              <w:t>-</w:t>
            </w:r>
            <w:r>
              <w:rPr>
                <w:rFonts w:hint="eastAsia"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8"/>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16</w:t>
            </w:r>
          </w:p>
        </w:tc>
        <w:tc>
          <w:tcPr>
            <w:tcW w:w="1755" w:type="dxa"/>
            <w:vMerge w:val="restart"/>
            <w:vAlign w:val="center"/>
          </w:tcPr>
          <w:p>
            <w:pPr>
              <w:pStyle w:val="38"/>
              <w:suppressLineNumbers w:val="0"/>
              <w:spacing w:before="0" w:beforeAutospacing="0" w:afterAutospacing="0"/>
              <w:ind w:left="0" w:right="0"/>
              <w:rPr>
                <w:rFonts w:hint="default" w:cs="Arial"/>
                <w:szCs w:val="18"/>
                <w:lang w:eastAsia="zh-CN"/>
              </w:rPr>
            </w:pPr>
            <w:r>
              <w:rPr>
                <w:rFonts w:hint="default" w:cs="Arial"/>
                <w:szCs w:val="18"/>
                <w:lang w:eastAsia="zh-CN"/>
              </w:rPr>
              <w:t>AAS based BS</w:t>
            </w:r>
          </w:p>
        </w:tc>
        <w:tc>
          <w:tcPr>
            <w:tcW w:w="0" w:type="auto"/>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Average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0.31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0.49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0.76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1.14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1.69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2.44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8"/>
              <w:suppressLineNumbers w:val="0"/>
              <w:spacing w:before="0" w:beforeAutospacing="0" w:afterAutospacing="0"/>
              <w:ind w:left="0" w:right="0"/>
              <w:rPr>
                <w:rFonts w:hint="default" w:cs="Arial"/>
                <w:szCs w:val="18"/>
              </w:rPr>
            </w:pPr>
          </w:p>
        </w:tc>
        <w:tc>
          <w:tcPr>
            <w:tcW w:w="1755" w:type="dxa"/>
            <w:vMerge w:val="continue"/>
            <w:vAlign w:val="center"/>
          </w:tcPr>
          <w:p>
            <w:pPr>
              <w:pStyle w:val="38"/>
              <w:suppressLineNumbers w:val="0"/>
              <w:spacing w:before="0" w:beforeAutospacing="0" w:afterAutospacing="0"/>
              <w:ind w:left="0" w:right="0"/>
              <w:rPr>
                <w:rFonts w:hint="default" w:cs="Arial"/>
                <w:szCs w:val="18"/>
              </w:rPr>
            </w:pPr>
          </w:p>
        </w:tc>
        <w:tc>
          <w:tcPr>
            <w:tcW w:w="0" w:type="auto"/>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5%-tile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0.01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0.01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0.02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0.03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0.03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0.03 </w:t>
            </w:r>
          </w:p>
        </w:tc>
      </w:tr>
    </w:tbl>
    <w:p>
      <w:pPr>
        <w:widowControl/>
        <w:jc w:val="both"/>
        <w:rPr>
          <w:rFonts w:hint="default"/>
          <w:lang w:val="en-US" w:eastAsia="zh-CN"/>
        </w:rPr>
      </w:pPr>
      <w:r>
        <w:rPr>
          <w:rFonts w:hint="eastAsia"/>
          <w:b/>
          <w:bCs/>
          <w:lang w:val="en-US" w:eastAsia="zh-CN"/>
        </w:rPr>
        <w:t>Observation 5</w:t>
      </w:r>
      <w:r>
        <w:rPr>
          <w:rFonts w:hint="eastAsia"/>
          <w:lang w:val="en-US" w:eastAsia="zh-CN"/>
        </w:rPr>
        <w:t>: based on the FR1 like UE assumption, then DL ACIR requirement could be relaxed more than 10dB in the indoor scenario.</w:t>
      </w:r>
    </w:p>
    <w:p>
      <w:pPr>
        <w:pStyle w:val="47"/>
        <w:rPr>
          <w:rFonts w:hint="default" w:cs="Times New Roman"/>
          <w:b w:val="0"/>
          <w:bCs w:val="0"/>
          <w:lang w:val="en-US" w:eastAsia="zh-CN"/>
        </w:rPr>
      </w:pPr>
      <w:r>
        <w:rPr>
          <w:rFonts w:hint="eastAsia"/>
          <w:lang w:val="en-US" w:eastAsia="zh-CN"/>
        </w:rPr>
        <w:t>Table 2.2.2-2.U</w:t>
      </w:r>
      <w:r>
        <w:rPr>
          <w:rFonts w:hint="eastAsia"/>
          <w:lang w:val="en-US"/>
        </w:rPr>
        <w:t>L</w:t>
      </w:r>
      <w:r>
        <w:t xml:space="preserve"> throughput loss of victim </w:t>
      </w:r>
      <w:r>
        <w:rPr>
          <w:rFonts w:hint="eastAsia"/>
          <w:lang w:val="en-US"/>
        </w:rPr>
        <w:t xml:space="preserve">BS for </w:t>
      </w:r>
      <w:r>
        <w:rPr>
          <w:rFonts w:hint="eastAsia"/>
          <w:lang w:val="en-US" w:eastAsia="en-US"/>
        </w:rPr>
        <w:t>14800 to 15350 MHz</w:t>
      </w:r>
      <w:r>
        <w:rPr>
          <w:rFonts w:hint="eastAsia"/>
          <w:lang w:val="en-US" w:eastAsia="zh-CN"/>
        </w:rPr>
        <w:t xml:space="preserve"> </w:t>
      </w:r>
      <w:r>
        <w:rPr>
          <w:rFonts w:hint="eastAsia"/>
          <w:lang w:val="en-US"/>
        </w:rPr>
        <w:t>[Relative ACIR value]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620"/>
        <w:gridCol w:w="2999"/>
        <w:gridCol w:w="607"/>
        <w:gridCol w:w="607"/>
        <w:gridCol w:w="607"/>
        <w:gridCol w:w="607"/>
        <w:gridCol w:w="607"/>
        <w:gridCol w:w="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7"/>
              <w:suppressLineNumbers w:val="0"/>
              <w:spacing w:before="0" w:beforeAutospacing="0" w:afterAutospacing="0"/>
              <w:ind w:left="0" w:right="0"/>
              <w:rPr>
                <w:rFonts w:hint="default"/>
                <w:lang w:eastAsia="zh-CN"/>
              </w:rPr>
            </w:pPr>
            <w:r>
              <w:rPr>
                <w:rFonts w:hint="eastAsia"/>
                <w:lang w:val="en-US" w:eastAsia="zh-CN"/>
              </w:rPr>
              <w:t>Antenna configuration</w:t>
            </w:r>
          </w:p>
        </w:tc>
        <w:tc>
          <w:tcPr>
            <w:tcW w:w="1620" w:type="dxa"/>
            <w:vMerge w:val="restart"/>
            <w:vAlign w:val="center"/>
          </w:tcPr>
          <w:p>
            <w:pPr>
              <w:pStyle w:val="37"/>
              <w:suppressLineNumbers w:val="0"/>
              <w:spacing w:before="0" w:beforeAutospacing="0" w:afterAutospacing="0"/>
              <w:ind w:left="0" w:right="0"/>
              <w:rPr>
                <w:rFonts w:hint="default"/>
                <w:lang w:eastAsia="zh-CN"/>
              </w:rPr>
            </w:pPr>
            <w:r>
              <w:rPr>
                <w:rFonts w:hint="eastAsia"/>
                <w:lang w:eastAsia="zh-CN"/>
              </w:rPr>
              <w:t>Simulation scenarios</w:t>
            </w:r>
          </w:p>
        </w:tc>
        <w:tc>
          <w:tcPr>
            <w:tcW w:w="2999" w:type="dxa"/>
            <w:vMerge w:val="restart"/>
            <w:vAlign w:val="center"/>
          </w:tcPr>
          <w:p>
            <w:pPr>
              <w:pStyle w:val="37"/>
              <w:suppressLineNumbers w:val="0"/>
              <w:spacing w:before="0" w:beforeAutospacing="0" w:afterAutospacing="0"/>
              <w:ind w:left="0" w:right="0"/>
              <w:rPr>
                <w:rFonts w:hint="default"/>
                <w:lang w:eastAsia="zh-CN"/>
              </w:rPr>
            </w:pPr>
            <w:r>
              <w:rPr>
                <w:rFonts w:hint="eastAsia"/>
                <w:lang w:eastAsia="zh-CN"/>
              </w:rPr>
              <w:t>Throughput loss</w:t>
            </w:r>
          </w:p>
        </w:tc>
        <w:tc>
          <w:tcPr>
            <w:tcW w:w="3642" w:type="dxa"/>
            <w:gridSpan w:val="6"/>
          </w:tcPr>
          <w:p>
            <w:pPr>
              <w:pStyle w:val="37"/>
              <w:suppressLineNumbers w:val="0"/>
              <w:spacing w:before="0" w:beforeAutospacing="0" w:afterAutospacing="0"/>
              <w:ind w:left="0" w:right="0"/>
              <w:rPr>
                <w:rFonts w:hint="default"/>
                <w:lang w:eastAsia="zh-CN"/>
              </w:rPr>
            </w:pPr>
            <w:r>
              <w:rPr>
                <w:rFonts w:hint="eastAsia"/>
                <w:lang w:eastAsia="zh-CN"/>
              </w:rPr>
              <w:t>Relative ACIR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7"/>
              <w:suppressLineNumbers w:val="0"/>
              <w:spacing w:before="0" w:beforeAutospacing="0" w:afterAutospacing="0"/>
              <w:ind w:left="0" w:right="0"/>
              <w:rPr>
                <w:rFonts w:hint="default"/>
                <w:lang w:eastAsia="zh-CN"/>
              </w:rPr>
            </w:pPr>
          </w:p>
        </w:tc>
        <w:tc>
          <w:tcPr>
            <w:tcW w:w="1620" w:type="dxa"/>
            <w:vMerge w:val="continue"/>
            <w:vAlign w:val="center"/>
          </w:tcPr>
          <w:p>
            <w:pPr>
              <w:pStyle w:val="37"/>
              <w:suppressLineNumbers w:val="0"/>
              <w:spacing w:before="0" w:beforeAutospacing="0" w:afterAutospacing="0"/>
              <w:ind w:left="0" w:right="0"/>
              <w:rPr>
                <w:rFonts w:hint="default"/>
                <w:lang w:eastAsia="zh-CN"/>
              </w:rPr>
            </w:pPr>
          </w:p>
        </w:tc>
        <w:tc>
          <w:tcPr>
            <w:tcW w:w="2999" w:type="dxa"/>
            <w:vMerge w:val="continue"/>
            <w:vAlign w:val="center"/>
          </w:tcPr>
          <w:p>
            <w:pPr>
              <w:pStyle w:val="37"/>
              <w:suppressLineNumbers w:val="0"/>
              <w:spacing w:before="0" w:beforeAutospacing="0" w:afterAutospacing="0"/>
              <w:ind w:left="0" w:right="0"/>
              <w:rPr>
                <w:rFonts w:hint="default"/>
                <w:lang w:eastAsia="zh-CN"/>
              </w:rPr>
            </w:pPr>
          </w:p>
        </w:tc>
        <w:tc>
          <w:tcPr>
            <w:tcW w:w="607" w:type="dxa"/>
            <w:vAlign w:val="top"/>
          </w:tcPr>
          <w:p>
            <w:pPr>
              <w:pStyle w:val="37"/>
              <w:suppressLineNumbers w:val="0"/>
              <w:spacing w:before="0" w:beforeAutospacing="0" w:afterAutospacing="0"/>
              <w:ind w:left="0" w:leftChars="0" w:right="0" w:rightChars="0"/>
              <w:rPr>
                <w:rFonts w:hint="default"/>
              </w:rPr>
            </w:pPr>
            <w:r>
              <w:rPr>
                <w:rFonts w:hint="default"/>
              </w:rPr>
              <w:t>0</w:t>
            </w:r>
          </w:p>
        </w:tc>
        <w:tc>
          <w:tcPr>
            <w:tcW w:w="607" w:type="dxa"/>
            <w:vAlign w:val="top"/>
          </w:tcPr>
          <w:p>
            <w:pPr>
              <w:pStyle w:val="37"/>
              <w:suppressLineNumbers w:val="0"/>
              <w:spacing w:before="0" w:beforeAutospacing="0" w:afterAutospacing="0"/>
              <w:ind w:left="0" w:leftChars="0" w:right="0" w:rightChars="0"/>
              <w:rPr>
                <w:rFonts w:hint="default"/>
              </w:rPr>
            </w:pPr>
            <w:r>
              <w:rPr>
                <w:rFonts w:hint="default"/>
              </w:rPr>
              <w:t>-</w:t>
            </w:r>
            <w:r>
              <w:rPr>
                <w:rFonts w:hint="eastAsia" w:eastAsia="宋体"/>
                <w:lang w:val="en-US" w:eastAsia="zh-CN"/>
              </w:rPr>
              <w:t>2</w:t>
            </w:r>
          </w:p>
        </w:tc>
        <w:tc>
          <w:tcPr>
            <w:tcW w:w="607" w:type="dxa"/>
            <w:vAlign w:val="top"/>
          </w:tcPr>
          <w:p>
            <w:pPr>
              <w:pStyle w:val="37"/>
              <w:suppressLineNumbers w:val="0"/>
              <w:spacing w:before="0" w:beforeAutospacing="0" w:afterAutospacing="0"/>
              <w:ind w:left="0" w:leftChars="0" w:right="0" w:rightChars="0"/>
              <w:rPr>
                <w:rFonts w:hint="default"/>
              </w:rPr>
            </w:pPr>
            <w:r>
              <w:rPr>
                <w:rFonts w:hint="default"/>
              </w:rPr>
              <w:t>-</w:t>
            </w:r>
            <w:r>
              <w:rPr>
                <w:rFonts w:hint="eastAsia" w:eastAsia="宋体"/>
                <w:lang w:val="en-US" w:eastAsia="zh-CN"/>
              </w:rPr>
              <w:t>4</w:t>
            </w:r>
          </w:p>
        </w:tc>
        <w:tc>
          <w:tcPr>
            <w:tcW w:w="607" w:type="dxa"/>
            <w:vAlign w:val="top"/>
          </w:tcPr>
          <w:p>
            <w:pPr>
              <w:pStyle w:val="37"/>
              <w:suppressLineNumbers w:val="0"/>
              <w:spacing w:before="0" w:beforeAutospacing="0" w:afterAutospacing="0"/>
              <w:ind w:left="0" w:leftChars="0" w:right="0" w:rightChars="0"/>
              <w:rPr>
                <w:rFonts w:hint="default"/>
              </w:rPr>
            </w:pPr>
            <w:r>
              <w:rPr>
                <w:rFonts w:hint="default"/>
              </w:rPr>
              <w:t>-</w:t>
            </w:r>
            <w:r>
              <w:rPr>
                <w:rFonts w:hint="eastAsia" w:eastAsia="宋体"/>
                <w:lang w:val="en-US" w:eastAsia="zh-CN"/>
              </w:rPr>
              <w:t>6</w:t>
            </w:r>
          </w:p>
        </w:tc>
        <w:tc>
          <w:tcPr>
            <w:tcW w:w="607" w:type="dxa"/>
            <w:vAlign w:val="top"/>
          </w:tcPr>
          <w:p>
            <w:pPr>
              <w:pStyle w:val="37"/>
              <w:suppressLineNumbers w:val="0"/>
              <w:spacing w:before="0" w:beforeAutospacing="0" w:afterAutospacing="0"/>
              <w:ind w:left="0" w:leftChars="0" w:right="0" w:rightChars="0"/>
              <w:rPr>
                <w:rFonts w:hint="default"/>
              </w:rPr>
            </w:pPr>
            <w:r>
              <w:rPr>
                <w:rFonts w:hint="default"/>
              </w:rPr>
              <w:t>-</w:t>
            </w:r>
            <w:r>
              <w:rPr>
                <w:rFonts w:hint="eastAsia" w:eastAsia="宋体"/>
                <w:lang w:val="en-US" w:eastAsia="zh-CN"/>
              </w:rPr>
              <w:t>8</w:t>
            </w:r>
          </w:p>
        </w:tc>
        <w:tc>
          <w:tcPr>
            <w:tcW w:w="607" w:type="dxa"/>
            <w:vAlign w:val="top"/>
          </w:tcPr>
          <w:p>
            <w:pPr>
              <w:pStyle w:val="37"/>
              <w:suppressLineNumbers w:val="0"/>
              <w:spacing w:before="0" w:beforeAutospacing="0" w:afterAutospacing="0"/>
              <w:ind w:left="0" w:leftChars="0" w:right="0" w:rightChars="0"/>
              <w:rPr>
                <w:rFonts w:hint="default"/>
              </w:rPr>
            </w:pPr>
            <w:r>
              <w:rPr>
                <w:rFonts w:hint="default"/>
              </w:rPr>
              <w:t>-</w:t>
            </w:r>
            <w:r>
              <w:rPr>
                <w:rFonts w:hint="eastAsia"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8"/>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16</w:t>
            </w:r>
          </w:p>
        </w:tc>
        <w:tc>
          <w:tcPr>
            <w:tcW w:w="1620" w:type="dxa"/>
            <w:vMerge w:val="restart"/>
            <w:vAlign w:val="center"/>
          </w:tcPr>
          <w:p>
            <w:pPr>
              <w:pStyle w:val="38"/>
              <w:suppressLineNumbers w:val="0"/>
              <w:spacing w:before="0" w:beforeAutospacing="0" w:afterAutospacing="0"/>
              <w:ind w:left="0" w:right="0"/>
              <w:rPr>
                <w:rFonts w:hint="default" w:cs="Arial"/>
                <w:szCs w:val="18"/>
                <w:lang w:eastAsia="zh-CN"/>
              </w:rPr>
            </w:pPr>
            <w:r>
              <w:rPr>
                <w:rFonts w:hint="default" w:cs="Arial"/>
                <w:szCs w:val="18"/>
                <w:lang w:eastAsia="zh-CN"/>
              </w:rPr>
              <w:t>AAS based BS</w:t>
            </w:r>
          </w:p>
        </w:tc>
        <w:tc>
          <w:tcPr>
            <w:tcW w:w="2999"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Average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0.15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0.24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0.37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0.58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0.88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1.33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8"/>
              <w:suppressLineNumbers w:val="0"/>
              <w:spacing w:before="0" w:beforeAutospacing="0" w:afterAutospacing="0"/>
              <w:ind w:left="0" w:right="0"/>
              <w:rPr>
                <w:rFonts w:hint="default" w:cs="Arial"/>
                <w:szCs w:val="18"/>
              </w:rPr>
            </w:pPr>
          </w:p>
        </w:tc>
        <w:tc>
          <w:tcPr>
            <w:tcW w:w="1620" w:type="dxa"/>
            <w:vMerge w:val="continue"/>
            <w:vAlign w:val="center"/>
          </w:tcPr>
          <w:p>
            <w:pPr>
              <w:pStyle w:val="38"/>
              <w:suppressLineNumbers w:val="0"/>
              <w:spacing w:before="0" w:beforeAutospacing="0" w:afterAutospacing="0"/>
              <w:ind w:left="0" w:right="0"/>
              <w:rPr>
                <w:rFonts w:hint="default" w:cs="Arial"/>
                <w:szCs w:val="18"/>
              </w:rPr>
            </w:pPr>
          </w:p>
        </w:tc>
        <w:tc>
          <w:tcPr>
            <w:tcW w:w="2999"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5%-tile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0.02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0.03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0.04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0.13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0.21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0.32 </w:t>
            </w:r>
          </w:p>
        </w:tc>
      </w:tr>
    </w:tbl>
    <w:p>
      <w:pPr>
        <w:widowControl/>
        <w:jc w:val="both"/>
        <w:rPr>
          <w:rFonts w:hint="default" w:cs="Times New Roman"/>
          <w:b w:val="0"/>
          <w:bCs w:val="0"/>
          <w:lang w:val="en-US" w:eastAsia="zh-CN"/>
        </w:rPr>
      </w:pPr>
      <w:r>
        <w:rPr>
          <w:rFonts w:hint="eastAsia"/>
          <w:b/>
          <w:bCs/>
          <w:lang w:val="en-US" w:eastAsia="zh-CN"/>
        </w:rPr>
        <w:t>Observation 6</w:t>
      </w:r>
      <w:r>
        <w:rPr>
          <w:rFonts w:hint="eastAsia"/>
          <w:lang w:val="en-US" w:eastAsia="zh-CN"/>
        </w:rPr>
        <w:t>: based on the FR1 like UE assumption, then UL ACIR requirement could be relaxed more than 10dB in the indoor scenario.</w:t>
      </w:r>
    </w:p>
    <w:p>
      <w:pPr>
        <w:widowControl/>
        <w:jc w:val="left"/>
        <w:rPr>
          <w:rFonts w:hint="eastAsia" w:cs="Times New Roman"/>
          <w:b/>
          <w:bCs/>
          <w:lang w:val="en-US" w:eastAsia="zh-CN"/>
        </w:rPr>
      </w:pPr>
      <w:r>
        <w:rPr>
          <w:rFonts w:hint="eastAsia" w:cs="Times New Roman"/>
          <w:b/>
          <w:bCs/>
          <w:lang w:val="en-US" w:eastAsia="zh-CN"/>
        </w:rPr>
        <w:t>FR2 like UE assumption: 1x2 antenna panel</w:t>
      </w:r>
    </w:p>
    <w:p>
      <w:pPr>
        <w:pStyle w:val="47"/>
        <w:rPr>
          <w:rFonts w:hint="default" w:eastAsia="宋体"/>
          <w:lang w:val="en-US" w:eastAsia="zh-CN"/>
        </w:rPr>
      </w:pPr>
      <w:r>
        <w:rPr>
          <w:rFonts w:hint="eastAsia"/>
          <w:lang w:val="en-US" w:eastAsia="zh-CN"/>
        </w:rPr>
        <w:t>Table 2.2.2-1.D</w:t>
      </w:r>
      <w:r>
        <w:rPr>
          <w:rFonts w:hint="eastAsia"/>
          <w:lang w:val="en-US"/>
        </w:rPr>
        <w:t>L</w:t>
      </w:r>
      <w:r>
        <w:t xml:space="preserve"> throughput loss of victim </w:t>
      </w:r>
      <w:r>
        <w:rPr>
          <w:rFonts w:hint="eastAsia"/>
          <w:lang w:val="en-US"/>
        </w:rPr>
        <w:t xml:space="preserve">BS for </w:t>
      </w:r>
      <w:r>
        <w:rPr>
          <w:rFonts w:hint="eastAsia"/>
          <w:lang w:val="en-US" w:eastAsia="en-US"/>
        </w:rPr>
        <w:t>14800 to 15350 MHz</w:t>
      </w:r>
      <w:r>
        <w:rPr>
          <w:rFonts w:hint="eastAsia"/>
          <w:lang w:val="en-US" w:eastAsia="zh-CN"/>
        </w:rPr>
        <w:t xml:space="preserve"> </w:t>
      </w:r>
      <w:r>
        <w:rPr>
          <w:rFonts w:hint="eastAsia"/>
          <w:lang w:val="en-US"/>
        </w:rPr>
        <w:t>[Relative ACIR value]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755"/>
        <w:gridCol w:w="3199"/>
        <w:gridCol w:w="607"/>
        <w:gridCol w:w="607"/>
        <w:gridCol w:w="607"/>
        <w:gridCol w:w="607"/>
        <w:gridCol w:w="607"/>
        <w:gridCol w:w="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7"/>
              <w:suppressLineNumbers w:val="0"/>
              <w:spacing w:before="0" w:beforeAutospacing="0" w:afterAutospacing="0"/>
              <w:ind w:left="0" w:right="0"/>
              <w:rPr>
                <w:rFonts w:hint="default"/>
                <w:lang w:val="en-US" w:eastAsia="zh-CN"/>
              </w:rPr>
            </w:pPr>
            <w:r>
              <w:rPr>
                <w:rFonts w:hint="eastAsia"/>
                <w:lang w:val="en-US" w:eastAsia="zh-CN"/>
              </w:rPr>
              <w:t xml:space="preserve">Antenna configuration  </w:t>
            </w:r>
          </w:p>
        </w:tc>
        <w:tc>
          <w:tcPr>
            <w:tcW w:w="1755" w:type="dxa"/>
            <w:vMerge w:val="restart"/>
            <w:vAlign w:val="center"/>
          </w:tcPr>
          <w:p>
            <w:pPr>
              <w:pStyle w:val="37"/>
              <w:suppressLineNumbers w:val="0"/>
              <w:spacing w:before="0" w:beforeAutospacing="0" w:afterAutospacing="0"/>
              <w:ind w:left="0" w:right="0"/>
              <w:rPr>
                <w:rFonts w:hint="default"/>
                <w:lang w:eastAsia="zh-CN"/>
              </w:rPr>
            </w:pPr>
            <w:r>
              <w:rPr>
                <w:rFonts w:hint="eastAsia"/>
                <w:lang w:eastAsia="zh-CN"/>
              </w:rPr>
              <w:t>Simulation scenarios</w:t>
            </w:r>
          </w:p>
        </w:tc>
        <w:tc>
          <w:tcPr>
            <w:tcW w:w="0" w:type="auto"/>
            <w:vMerge w:val="restart"/>
            <w:vAlign w:val="center"/>
          </w:tcPr>
          <w:p>
            <w:pPr>
              <w:pStyle w:val="37"/>
              <w:suppressLineNumbers w:val="0"/>
              <w:spacing w:before="0" w:beforeAutospacing="0" w:afterAutospacing="0"/>
              <w:ind w:left="0" w:right="0"/>
              <w:rPr>
                <w:rFonts w:hint="default"/>
                <w:lang w:eastAsia="zh-CN"/>
              </w:rPr>
            </w:pPr>
            <w:r>
              <w:rPr>
                <w:rFonts w:hint="eastAsia"/>
                <w:lang w:eastAsia="zh-CN"/>
              </w:rPr>
              <w:t>Throughput loss</w:t>
            </w:r>
          </w:p>
        </w:tc>
        <w:tc>
          <w:tcPr>
            <w:tcW w:w="0" w:type="auto"/>
            <w:gridSpan w:val="6"/>
          </w:tcPr>
          <w:p>
            <w:pPr>
              <w:pStyle w:val="37"/>
              <w:suppressLineNumbers w:val="0"/>
              <w:spacing w:before="0" w:beforeAutospacing="0" w:afterAutospacing="0"/>
              <w:ind w:left="0" w:right="0"/>
              <w:rPr>
                <w:rFonts w:hint="default"/>
                <w:lang w:eastAsia="zh-CN"/>
              </w:rPr>
            </w:pPr>
            <w:r>
              <w:rPr>
                <w:rFonts w:hint="eastAsia"/>
                <w:lang w:eastAsia="zh-CN"/>
              </w:rPr>
              <w:t>Relative ACIR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366" w:type="dxa"/>
            <w:vMerge w:val="continue"/>
            <w:vAlign w:val="center"/>
          </w:tcPr>
          <w:p>
            <w:pPr>
              <w:pStyle w:val="37"/>
              <w:suppressLineNumbers w:val="0"/>
              <w:spacing w:before="0" w:beforeAutospacing="0" w:afterAutospacing="0"/>
              <w:ind w:left="0" w:right="0"/>
              <w:rPr>
                <w:rFonts w:hint="default"/>
                <w:lang w:eastAsia="zh-CN"/>
              </w:rPr>
            </w:pPr>
          </w:p>
        </w:tc>
        <w:tc>
          <w:tcPr>
            <w:tcW w:w="1755" w:type="dxa"/>
            <w:vMerge w:val="continue"/>
            <w:vAlign w:val="center"/>
          </w:tcPr>
          <w:p>
            <w:pPr>
              <w:pStyle w:val="37"/>
              <w:suppressLineNumbers w:val="0"/>
              <w:spacing w:before="0" w:beforeAutospacing="0" w:afterAutospacing="0"/>
              <w:ind w:left="0" w:right="0"/>
              <w:rPr>
                <w:rFonts w:hint="default"/>
                <w:lang w:eastAsia="zh-CN"/>
              </w:rPr>
            </w:pPr>
          </w:p>
        </w:tc>
        <w:tc>
          <w:tcPr>
            <w:tcW w:w="0" w:type="auto"/>
            <w:vMerge w:val="continue"/>
            <w:vAlign w:val="center"/>
          </w:tcPr>
          <w:p>
            <w:pPr>
              <w:pStyle w:val="37"/>
              <w:suppressLineNumbers w:val="0"/>
              <w:spacing w:before="0" w:beforeAutospacing="0" w:afterAutospacing="0"/>
              <w:ind w:left="0" w:right="0"/>
              <w:rPr>
                <w:rFonts w:hint="default"/>
                <w:lang w:eastAsia="zh-CN"/>
              </w:rPr>
            </w:pPr>
          </w:p>
        </w:tc>
        <w:tc>
          <w:tcPr>
            <w:tcW w:w="0" w:type="auto"/>
          </w:tcPr>
          <w:p>
            <w:pPr>
              <w:pStyle w:val="37"/>
              <w:suppressLineNumbers w:val="0"/>
              <w:spacing w:before="0" w:beforeAutospacing="0" w:afterAutospacing="0"/>
              <w:ind w:left="0" w:right="0"/>
              <w:rPr>
                <w:rFonts w:hint="default"/>
              </w:rPr>
            </w:pPr>
            <w:r>
              <w:rPr>
                <w:rFonts w:hint="default"/>
              </w:rPr>
              <w:t>0</w:t>
            </w:r>
          </w:p>
        </w:tc>
        <w:tc>
          <w:tcPr>
            <w:tcW w:w="0" w:type="auto"/>
          </w:tcPr>
          <w:p>
            <w:pPr>
              <w:pStyle w:val="37"/>
              <w:suppressLineNumbers w:val="0"/>
              <w:spacing w:before="0" w:beforeAutospacing="0" w:afterAutospacing="0"/>
              <w:ind w:left="0" w:right="0"/>
              <w:rPr>
                <w:rFonts w:hint="eastAsia" w:eastAsia="宋体"/>
                <w:lang w:eastAsia="zh-CN"/>
              </w:rPr>
            </w:pPr>
            <w:r>
              <w:rPr>
                <w:rFonts w:hint="default"/>
              </w:rPr>
              <w:t>-</w:t>
            </w:r>
            <w:r>
              <w:rPr>
                <w:rFonts w:hint="eastAsia" w:eastAsia="宋体"/>
                <w:lang w:val="en-US" w:eastAsia="zh-CN"/>
              </w:rPr>
              <w:t>2</w:t>
            </w:r>
          </w:p>
        </w:tc>
        <w:tc>
          <w:tcPr>
            <w:tcW w:w="0" w:type="auto"/>
          </w:tcPr>
          <w:p>
            <w:pPr>
              <w:pStyle w:val="37"/>
              <w:suppressLineNumbers w:val="0"/>
              <w:spacing w:before="0" w:beforeAutospacing="0" w:afterAutospacing="0"/>
              <w:ind w:left="0" w:right="0"/>
              <w:rPr>
                <w:rFonts w:hint="eastAsia" w:eastAsia="宋体"/>
                <w:lang w:eastAsia="zh-CN"/>
              </w:rPr>
            </w:pPr>
            <w:r>
              <w:rPr>
                <w:rFonts w:hint="default"/>
              </w:rPr>
              <w:t>-</w:t>
            </w:r>
            <w:r>
              <w:rPr>
                <w:rFonts w:hint="eastAsia" w:eastAsia="宋体"/>
                <w:lang w:val="en-US" w:eastAsia="zh-CN"/>
              </w:rPr>
              <w:t>4</w:t>
            </w:r>
          </w:p>
        </w:tc>
        <w:tc>
          <w:tcPr>
            <w:tcW w:w="0" w:type="auto"/>
          </w:tcPr>
          <w:p>
            <w:pPr>
              <w:pStyle w:val="37"/>
              <w:suppressLineNumbers w:val="0"/>
              <w:spacing w:before="0" w:beforeAutospacing="0" w:afterAutospacing="0"/>
              <w:ind w:left="0" w:right="0"/>
              <w:rPr>
                <w:rFonts w:hint="eastAsia" w:eastAsia="宋体"/>
                <w:lang w:eastAsia="zh-CN"/>
              </w:rPr>
            </w:pPr>
            <w:r>
              <w:rPr>
                <w:rFonts w:hint="default"/>
              </w:rPr>
              <w:t>-</w:t>
            </w:r>
            <w:r>
              <w:rPr>
                <w:rFonts w:hint="eastAsia" w:eastAsia="宋体"/>
                <w:lang w:val="en-US" w:eastAsia="zh-CN"/>
              </w:rPr>
              <w:t>6</w:t>
            </w:r>
          </w:p>
        </w:tc>
        <w:tc>
          <w:tcPr>
            <w:tcW w:w="0" w:type="auto"/>
          </w:tcPr>
          <w:p>
            <w:pPr>
              <w:pStyle w:val="37"/>
              <w:suppressLineNumbers w:val="0"/>
              <w:spacing w:before="0" w:beforeAutospacing="0" w:afterAutospacing="0"/>
              <w:ind w:left="0" w:right="0"/>
              <w:rPr>
                <w:rFonts w:hint="eastAsia" w:eastAsia="宋体"/>
                <w:lang w:eastAsia="zh-CN"/>
              </w:rPr>
            </w:pPr>
            <w:r>
              <w:rPr>
                <w:rFonts w:hint="default"/>
              </w:rPr>
              <w:t>-</w:t>
            </w:r>
            <w:r>
              <w:rPr>
                <w:rFonts w:hint="eastAsia" w:eastAsia="宋体"/>
                <w:lang w:val="en-US" w:eastAsia="zh-CN"/>
              </w:rPr>
              <w:t>8</w:t>
            </w:r>
          </w:p>
        </w:tc>
        <w:tc>
          <w:tcPr>
            <w:tcW w:w="0" w:type="auto"/>
          </w:tcPr>
          <w:p>
            <w:pPr>
              <w:pStyle w:val="37"/>
              <w:suppressLineNumbers w:val="0"/>
              <w:spacing w:before="0" w:beforeAutospacing="0" w:afterAutospacing="0"/>
              <w:ind w:left="0" w:right="0"/>
              <w:rPr>
                <w:rFonts w:hint="default" w:eastAsia="宋体"/>
                <w:lang w:val="en-US" w:eastAsia="zh-CN"/>
              </w:rPr>
            </w:pPr>
            <w:r>
              <w:rPr>
                <w:rFonts w:hint="default"/>
              </w:rPr>
              <w:t>-</w:t>
            </w:r>
            <w:r>
              <w:rPr>
                <w:rFonts w:hint="eastAsia"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8"/>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16</w:t>
            </w:r>
          </w:p>
        </w:tc>
        <w:tc>
          <w:tcPr>
            <w:tcW w:w="1755" w:type="dxa"/>
            <w:vMerge w:val="restart"/>
            <w:vAlign w:val="center"/>
          </w:tcPr>
          <w:p>
            <w:pPr>
              <w:pStyle w:val="38"/>
              <w:suppressLineNumbers w:val="0"/>
              <w:spacing w:before="0" w:beforeAutospacing="0" w:afterAutospacing="0"/>
              <w:ind w:left="0" w:right="0"/>
              <w:rPr>
                <w:rFonts w:hint="default" w:cs="Arial"/>
                <w:szCs w:val="18"/>
                <w:lang w:eastAsia="zh-CN"/>
              </w:rPr>
            </w:pPr>
            <w:r>
              <w:rPr>
                <w:rFonts w:hint="default" w:cs="Arial"/>
                <w:szCs w:val="18"/>
                <w:lang w:eastAsia="zh-CN"/>
              </w:rPr>
              <w:t>AAS based BS</w:t>
            </w:r>
          </w:p>
        </w:tc>
        <w:tc>
          <w:tcPr>
            <w:tcW w:w="0" w:type="auto"/>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Average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0.33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0.52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0.83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1.27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1.90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2.74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8"/>
              <w:suppressLineNumbers w:val="0"/>
              <w:spacing w:before="0" w:beforeAutospacing="0" w:afterAutospacing="0"/>
              <w:ind w:left="0" w:right="0"/>
              <w:rPr>
                <w:rFonts w:hint="default" w:cs="Arial"/>
                <w:szCs w:val="18"/>
              </w:rPr>
            </w:pPr>
          </w:p>
        </w:tc>
        <w:tc>
          <w:tcPr>
            <w:tcW w:w="1755" w:type="dxa"/>
            <w:vMerge w:val="continue"/>
            <w:vAlign w:val="center"/>
          </w:tcPr>
          <w:p>
            <w:pPr>
              <w:pStyle w:val="38"/>
              <w:suppressLineNumbers w:val="0"/>
              <w:spacing w:before="0" w:beforeAutospacing="0" w:afterAutospacing="0"/>
              <w:ind w:left="0" w:right="0"/>
              <w:rPr>
                <w:rFonts w:hint="default" w:cs="Arial"/>
                <w:szCs w:val="18"/>
              </w:rPr>
            </w:pPr>
          </w:p>
        </w:tc>
        <w:tc>
          <w:tcPr>
            <w:tcW w:w="0" w:type="auto"/>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5%-tile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0.01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0.02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0.02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0.04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0.33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0.56 </w:t>
            </w:r>
          </w:p>
        </w:tc>
      </w:tr>
    </w:tbl>
    <w:p>
      <w:pPr>
        <w:widowControl/>
        <w:jc w:val="both"/>
        <w:rPr>
          <w:rFonts w:hint="eastAsia"/>
          <w:lang w:val="en-US" w:eastAsia="zh-CN"/>
        </w:rPr>
      </w:pPr>
      <w:r>
        <w:rPr>
          <w:rFonts w:hint="eastAsia"/>
          <w:b/>
          <w:bCs/>
          <w:lang w:val="en-US" w:eastAsia="zh-CN"/>
        </w:rPr>
        <w:t>Observation 7</w:t>
      </w:r>
      <w:r>
        <w:rPr>
          <w:rFonts w:hint="eastAsia"/>
          <w:lang w:val="en-US" w:eastAsia="zh-CN"/>
        </w:rPr>
        <w:t>: based on the FR2 like UE assumption, then DL ACIR requirement could be relaxed more than 10dB in the indoor scenario.</w:t>
      </w:r>
    </w:p>
    <w:p>
      <w:pPr>
        <w:pStyle w:val="47"/>
        <w:rPr>
          <w:rFonts w:hint="default" w:cs="Times New Roman"/>
          <w:b w:val="0"/>
          <w:bCs w:val="0"/>
          <w:lang w:val="en-US" w:eastAsia="zh-CN"/>
        </w:rPr>
      </w:pPr>
      <w:r>
        <w:rPr>
          <w:rFonts w:hint="eastAsia"/>
          <w:lang w:val="en-US" w:eastAsia="zh-CN"/>
        </w:rPr>
        <w:t>Table 2.2.2-2.U</w:t>
      </w:r>
      <w:r>
        <w:rPr>
          <w:rFonts w:hint="eastAsia"/>
          <w:lang w:val="en-US"/>
        </w:rPr>
        <w:t>L</w:t>
      </w:r>
      <w:r>
        <w:t xml:space="preserve"> throughput loss of victim </w:t>
      </w:r>
      <w:r>
        <w:rPr>
          <w:rFonts w:hint="eastAsia"/>
          <w:lang w:val="en-US"/>
        </w:rPr>
        <w:t xml:space="preserve">BS for </w:t>
      </w:r>
      <w:r>
        <w:rPr>
          <w:rFonts w:hint="eastAsia"/>
          <w:lang w:val="en-US" w:eastAsia="en-US"/>
        </w:rPr>
        <w:t>14800 to 15350 MHz</w:t>
      </w:r>
      <w:r>
        <w:rPr>
          <w:rFonts w:hint="eastAsia"/>
          <w:lang w:val="en-US" w:eastAsia="zh-CN"/>
        </w:rPr>
        <w:t xml:space="preserve"> </w:t>
      </w:r>
      <w:r>
        <w:rPr>
          <w:rFonts w:hint="eastAsia"/>
          <w:lang w:val="en-US"/>
        </w:rPr>
        <w:t>[Relative ACIR value]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620"/>
        <w:gridCol w:w="2999"/>
        <w:gridCol w:w="607"/>
        <w:gridCol w:w="607"/>
        <w:gridCol w:w="607"/>
        <w:gridCol w:w="607"/>
        <w:gridCol w:w="607"/>
        <w:gridCol w:w="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7"/>
              <w:suppressLineNumbers w:val="0"/>
              <w:spacing w:before="0" w:beforeAutospacing="0" w:afterAutospacing="0"/>
              <w:ind w:left="0" w:right="0"/>
              <w:rPr>
                <w:rFonts w:hint="default"/>
                <w:lang w:eastAsia="zh-CN"/>
              </w:rPr>
            </w:pPr>
            <w:r>
              <w:rPr>
                <w:rFonts w:hint="eastAsia"/>
                <w:lang w:val="en-US" w:eastAsia="zh-CN"/>
              </w:rPr>
              <w:t>Antenna configuration</w:t>
            </w:r>
          </w:p>
        </w:tc>
        <w:tc>
          <w:tcPr>
            <w:tcW w:w="1620" w:type="dxa"/>
            <w:vMerge w:val="restart"/>
            <w:vAlign w:val="center"/>
          </w:tcPr>
          <w:p>
            <w:pPr>
              <w:pStyle w:val="37"/>
              <w:suppressLineNumbers w:val="0"/>
              <w:spacing w:before="0" w:beforeAutospacing="0" w:afterAutospacing="0"/>
              <w:ind w:left="0" w:right="0"/>
              <w:rPr>
                <w:rFonts w:hint="default"/>
                <w:lang w:eastAsia="zh-CN"/>
              </w:rPr>
            </w:pPr>
            <w:r>
              <w:rPr>
                <w:rFonts w:hint="eastAsia"/>
                <w:lang w:eastAsia="zh-CN"/>
              </w:rPr>
              <w:t>Simulation scenarios</w:t>
            </w:r>
          </w:p>
        </w:tc>
        <w:tc>
          <w:tcPr>
            <w:tcW w:w="2999" w:type="dxa"/>
            <w:vMerge w:val="restart"/>
            <w:vAlign w:val="center"/>
          </w:tcPr>
          <w:p>
            <w:pPr>
              <w:pStyle w:val="37"/>
              <w:suppressLineNumbers w:val="0"/>
              <w:spacing w:before="0" w:beforeAutospacing="0" w:afterAutospacing="0"/>
              <w:ind w:left="0" w:right="0"/>
              <w:rPr>
                <w:rFonts w:hint="default"/>
                <w:lang w:eastAsia="zh-CN"/>
              </w:rPr>
            </w:pPr>
            <w:r>
              <w:rPr>
                <w:rFonts w:hint="eastAsia"/>
                <w:lang w:eastAsia="zh-CN"/>
              </w:rPr>
              <w:t>Throughput loss</w:t>
            </w:r>
          </w:p>
        </w:tc>
        <w:tc>
          <w:tcPr>
            <w:tcW w:w="3642" w:type="dxa"/>
            <w:gridSpan w:val="6"/>
          </w:tcPr>
          <w:p>
            <w:pPr>
              <w:pStyle w:val="37"/>
              <w:suppressLineNumbers w:val="0"/>
              <w:spacing w:before="0" w:beforeAutospacing="0" w:afterAutospacing="0"/>
              <w:ind w:left="0" w:right="0"/>
              <w:rPr>
                <w:rFonts w:hint="default"/>
                <w:lang w:eastAsia="zh-CN"/>
              </w:rPr>
            </w:pPr>
            <w:r>
              <w:rPr>
                <w:rFonts w:hint="eastAsia"/>
                <w:lang w:eastAsia="zh-CN"/>
              </w:rPr>
              <w:t>Relative ACIR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7"/>
              <w:suppressLineNumbers w:val="0"/>
              <w:spacing w:before="0" w:beforeAutospacing="0" w:afterAutospacing="0"/>
              <w:ind w:left="0" w:right="0"/>
              <w:rPr>
                <w:rFonts w:hint="default"/>
                <w:lang w:eastAsia="zh-CN"/>
              </w:rPr>
            </w:pPr>
          </w:p>
        </w:tc>
        <w:tc>
          <w:tcPr>
            <w:tcW w:w="1620" w:type="dxa"/>
            <w:vMerge w:val="continue"/>
            <w:vAlign w:val="center"/>
          </w:tcPr>
          <w:p>
            <w:pPr>
              <w:pStyle w:val="37"/>
              <w:suppressLineNumbers w:val="0"/>
              <w:spacing w:before="0" w:beforeAutospacing="0" w:afterAutospacing="0"/>
              <w:ind w:left="0" w:right="0"/>
              <w:rPr>
                <w:rFonts w:hint="default"/>
                <w:lang w:eastAsia="zh-CN"/>
              </w:rPr>
            </w:pPr>
          </w:p>
        </w:tc>
        <w:tc>
          <w:tcPr>
            <w:tcW w:w="2999" w:type="dxa"/>
            <w:vMerge w:val="continue"/>
            <w:vAlign w:val="center"/>
          </w:tcPr>
          <w:p>
            <w:pPr>
              <w:pStyle w:val="37"/>
              <w:suppressLineNumbers w:val="0"/>
              <w:spacing w:before="0" w:beforeAutospacing="0" w:afterAutospacing="0"/>
              <w:ind w:left="0" w:right="0"/>
              <w:rPr>
                <w:rFonts w:hint="default"/>
                <w:lang w:eastAsia="zh-CN"/>
              </w:rPr>
            </w:pPr>
          </w:p>
        </w:tc>
        <w:tc>
          <w:tcPr>
            <w:tcW w:w="607" w:type="dxa"/>
            <w:vAlign w:val="top"/>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0</w:t>
            </w:r>
          </w:p>
        </w:tc>
        <w:tc>
          <w:tcPr>
            <w:tcW w:w="607" w:type="dxa"/>
            <w:vAlign w:val="top"/>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w:t>
            </w:r>
            <w:r>
              <w:rPr>
                <w:rFonts w:hint="eastAsia" w:ascii="Calibri" w:hAnsi="Calibri" w:eastAsia="宋体" w:cs="Calibri"/>
                <w:i w:val="0"/>
                <w:iCs w:val="0"/>
                <w:color w:val="000000"/>
                <w:kern w:val="0"/>
                <w:sz w:val="22"/>
                <w:szCs w:val="22"/>
                <w:u w:val="none"/>
                <w:lang w:val="en-US" w:eastAsia="zh-CN" w:bidi="ar"/>
              </w:rPr>
              <w:t>2</w:t>
            </w:r>
          </w:p>
        </w:tc>
        <w:tc>
          <w:tcPr>
            <w:tcW w:w="607" w:type="dxa"/>
            <w:vAlign w:val="top"/>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w:t>
            </w:r>
            <w:r>
              <w:rPr>
                <w:rFonts w:hint="eastAsia" w:ascii="Calibri" w:hAnsi="Calibri" w:eastAsia="宋体" w:cs="Calibri"/>
                <w:i w:val="0"/>
                <w:iCs w:val="0"/>
                <w:color w:val="000000"/>
                <w:kern w:val="0"/>
                <w:sz w:val="22"/>
                <w:szCs w:val="22"/>
                <w:u w:val="none"/>
                <w:lang w:val="en-US" w:eastAsia="zh-CN" w:bidi="ar"/>
              </w:rPr>
              <w:t>4</w:t>
            </w:r>
          </w:p>
        </w:tc>
        <w:tc>
          <w:tcPr>
            <w:tcW w:w="607" w:type="dxa"/>
            <w:vAlign w:val="top"/>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w:t>
            </w:r>
            <w:r>
              <w:rPr>
                <w:rFonts w:hint="eastAsia" w:ascii="Calibri" w:hAnsi="Calibri" w:eastAsia="宋体" w:cs="Calibri"/>
                <w:i w:val="0"/>
                <w:iCs w:val="0"/>
                <w:color w:val="000000"/>
                <w:kern w:val="0"/>
                <w:sz w:val="22"/>
                <w:szCs w:val="22"/>
                <w:u w:val="none"/>
                <w:lang w:val="en-US" w:eastAsia="zh-CN" w:bidi="ar"/>
              </w:rPr>
              <w:t>6</w:t>
            </w:r>
          </w:p>
        </w:tc>
        <w:tc>
          <w:tcPr>
            <w:tcW w:w="607" w:type="dxa"/>
            <w:vAlign w:val="top"/>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w:t>
            </w:r>
            <w:r>
              <w:rPr>
                <w:rFonts w:hint="eastAsia" w:ascii="Calibri" w:hAnsi="Calibri" w:eastAsia="宋体" w:cs="Calibri"/>
                <w:i w:val="0"/>
                <w:iCs w:val="0"/>
                <w:color w:val="000000"/>
                <w:kern w:val="0"/>
                <w:sz w:val="22"/>
                <w:szCs w:val="22"/>
                <w:u w:val="none"/>
                <w:lang w:val="en-US" w:eastAsia="zh-CN" w:bidi="ar"/>
              </w:rPr>
              <w:t>8</w:t>
            </w:r>
          </w:p>
        </w:tc>
        <w:tc>
          <w:tcPr>
            <w:tcW w:w="607" w:type="dxa"/>
            <w:vAlign w:val="top"/>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w:t>
            </w:r>
            <w:r>
              <w:rPr>
                <w:rFonts w:hint="eastAsia" w:ascii="Calibri" w:hAnsi="Calibri" w:eastAsia="宋体" w:cs="Calibri"/>
                <w:i w:val="0"/>
                <w:iCs w:val="0"/>
                <w:color w:val="000000"/>
                <w:kern w:val="0"/>
                <w:sz w:val="22"/>
                <w:szCs w:val="22"/>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restart"/>
            <w:vAlign w:val="center"/>
          </w:tcPr>
          <w:p>
            <w:pPr>
              <w:pStyle w:val="38"/>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16</w:t>
            </w:r>
          </w:p>
        </w:tc>
        <w:tc>
          <w:tcPr>
            <w:tcW w:w="1620" w:type="dxa"/>
            <w:vMerge w:val="restart"/>
            <w:vAlign w:val="center"/>
          </w:tcPr>
          <w:p>
            <w:pPr>
              <w:pStyle w:val="38"/>
              <w:suppressLineNumbers w:val="0"/>
              <w:spacing w:before="0" w:beforeAutospacing="0" w:afterAutospacing="0"/>
              <w:ind w:left="0" w:right="0"/>
              <w:rPr>
                <w:rFonts w:hint="default" w:cs="Arial"/>
                <w:szCs w:val="18"/>
                <w:lang w:eastAsia="zh-CN"/>
              </w:rPr>
            </w:pPr>
            <w:r>
              <w:rPr>
                <w:rFonts w:hint="default" w:cs="Arial"/>
                <w:szCs w:val="18"/>
                <w:lang w:eastAsia="zh-CN"/>
              </w:rPr>
              <w:t>AAS based BS</w:t>
            </w:r>
          </w:p>
        </w:tc>
        <w:tc>
          <w:tcPr>
            <w:tcW w:w="2999"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Average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0.48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0.72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1.05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1.51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2.14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2.97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66" w:type="dxa"/>
            <w:vMerge w:val="continue"/>
            <w:vAlign w:val="center"/>
          </w:tcPr>
          <w:p>
            <w:pPr>
              <w:pStyle w:val="38"/>
              <w:suppressLineNumbers w:val="0"/>
              <w:spacing w:before="0" w:beforeAutospacing="0" w:afterAutospacing="0"/>
              <w:ind w:left="0" w:right="0"/>
              <w:rPr>
                <w:rFonts w:hint="default" w:cs="Arial"/>
                <w:szCs w:val="18"/>
              </w:rPr>
            </w:pPr>
          </w:p>
        </w:tc>
        <w:tc>
          <w:tcPr>
            <w:tcW w:w="1620" w:type="dxa"/>
            <w:vMerge w:val="continue"/>
            <w:vAlign w:val="center"/>
          </w:tcPr>
          <w:p>
            <w:pPr>
              <w:pStyle w:val="38"/>
              <w:suppressLineNumbers w:val="0"/>
              <w:spacing w:before="0" w:beforeAutospacing="0" w:afterAutospacing="0"/>
              <w:ind w:left="0" w:right="0"/>
              <w:rPr>
                <w:rFonts w:hint="default" w:cs="Arial"/>
                <w:szCs w:val="18"/>
              </w:rPr>
            </w:pPr>
          </w:p>
        </w:tc>
        <w:tc>
          <w:tcPr>
            <w:tcW w:w="2999" w:type="dxa"/>
            <w:vAlign w:val="center"/>
          </w:tcPr>
          <w:p>
            <w:pPr>
              <w:pStyle w:val="38"/>
              <w:suppressLineNumbers w:val="0"/>
              <w:spacing w:before="0" w:beforeAutospacing="0" w:afterAutospacing="0"/>
              <w:ind w:left="0" w:right="0"/>
              <w:rPr>
                <w:rFonts w:hint="default" w:cs="Arial"/>
                <w:szCs w:val="18"/>
              </w:rPr>
            </w:pPr>
            <w:r>
              <w:rPr>
                <w:rFonts w:hint="default" w:cs="Arial"/>
                <w:szCs w:val="18"/>
              </w:rPr>
              <w:t xml:space="preserve">5%-tile throughput loss </w:t>
            </w:r>
            <w:r>
              <w:rPr>
                <w:rFonts w:hint="default" w:cs="Arial"/>
                <w:szCs w:val="18"/>
                <w:lang w:eastAsia="zh-CN"/>
              </w:rPr>
              <w:t xml:space="preserve">in % </w:t>
            </w:r>
            <w:r>
              <w:rPr>
                <w:rFonts w:hint="default" w:cs="Arial"/>
                <w:szCs w:val="18"/>
              </w:rPr>
              <w:t>(</w:t>
            </w:r>
            <w:r>
              <w:rPr>
                <w:rFonts w:hint="eastAsia" w:eastAsia="宋体" w:cs="Arial"/>
                <w:szCs w:val="18"/>
                <w:lang w:val="en-US" w:eastAsia="zh-CN"/>
              </w:rPr>
              <w:t>15</w:t>
            </w:r>
            <w:r>
              <w:rPr>
                <w:rFonts w:hint="default" w:cs="Arial"/>
                <w:szCs w:val="18"/>
              </w:rPr>
              <w:t> GHz)</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0.10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0.11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0.19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1.03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1.40 </w:t>
            </w:r>
          </w:p>
        </w:tc>
        <w:tc>
          <w:tcPr>
            <w:tcW w:w="607" w:type="dxa"/>
            <w:vAlign w:val="bottom"/>
          </w:tcPr>
          <w:p>
            <w:pPr>
              <w:keepNext w:val="0"/>
              <w:keepLines w:val="0"/>
              <w:widowControl/>
              <w:suppressLineNumbers w:val="0"/>
              <w:spacing w:before="0" w:beforeAutospacing="0" w:afterAutospacing="0"/>
              <w:ind w:left="0" w:right="0"/>
              <w:jc w:val="right"/>
              <w:textAlignment w:val="bottom"/>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 xml:space="preserve">2.97 </w:t>
            </w:r>
          </w:p>
        </w:tc>
      </w:tr>
    </w:tbl>
    <w:p>
      <w:pPr>
        <w:widowControl/>
        <w:jc w:val="left"/>
        <w:rPr>
          <w:rFonts w:hint="default" w:cs="Times New Roman"/>
          <w:b/>
          <w:bCs/>
          <w:lang w:val="en-US" w:eastAsia="zh-CN"/>
        </w:rPr>
      </w:pPr>
    </w:p>
    <w:p>
      <w:pPr>
        <w:widowControl/>
        <w:jc w:val="both"/>
        <w:rPr>
          <w:rFonts w:hint="default" w:cs="Times New Roman"/>
          <w:b/>
          <w:bCs/>
          <w:lang w:val="en-US" w:eastAsia="zh-CN"/>
        </w:rPr>
      </w:pPr>
      <w:r>
        <w:rPr>
          <w:rFonts w:hint="eastAsia"/>
          <w:b/>
          <w:bCs/>
          <w:lang w:val="en-US" w:eastAsia="zh-CN"/>
        </w:rPr>
        <w:t>Observation 8</w:t>
      </w:r>
      <w:r>
        <w:rPr>
          <w:rFonts w:hint="eastAsia"/>
          <w:lang w:val="en-US" w:eastAsia="zh-CN"/>
        </w:rPr>
        <w:t>: based on the FR2 like UE assumption, then UL ACIR requirement could be relaxed more than 10dB in the indoor scenario.</w:t>
      </w:r>
    </w:p>
    <w:bookmarkEnd w:id="2"/>
    <w:bookmarkEnd w:id="3"/>
    <w:bookmarkEnd w:id="4"/>
    <w:bookmarkEnd w:id="5"/>
    <w:p>
      <w:pPr>
        <w:pStyle w:val="57"/>
        <w:tabs>
          <w:tab w:val="left" w:pos="567"/>
          <w:tab w:val="clear" w:pos="1985"/>
        </w:tabs>
        <w:adjustRightInd w:val="0"/>
        <w:ind w:left="510" w:hanging="510"/>
      </w:pPr>
      <w:r>
        <w:t>Conclusions</w:t>
      </w:r>
    </w:p>
    <w:p>
      <w:pPr>
        <w:jc w:val="left"/>
        <w:rPr>
          <w:rFonts w:hint="eastAsia" w:cs="Times New Roman"/>
          <w:sz w:val="20"/>
          <w:szCs w:val="20"/>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 xml:space="preserve">share some further views on coexistence evaluations for </w:t>
      </w:r>
      <w:r>
        <w:rPr>
          <w:rFonts w:hint="eastAsia" w:cs="Times New Roman"/>
          <w:sz w:val="20"/>
          <w:szCs w:val="20"/>
          <w:lang w:val="en-US" w:eastAsia="zh-CN"/>
        </w:rPr>
        <w:t>14800-15350MHz and proposals/observations are made as following:</w:t>
      </w:r>
    </w:p>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cs="Times New Roman"/>
          <w:b w:val="0"/>
          <w:bCs w:val="0"/>
          <w:lang w:val="en-US" w:eastAsia="zh-CN"/>
        </w:rPr>
      </w:pPr>
      <w:r>
        <w:rPr>
          <w:rFonts w:hint="eastAsia" w:cs="Times New Roman"/>
          <w:b/>
          <w:bCs/>
          <w:lang w:val="en-US" w:eastAsia="zh-CN"/>
        </w:rPr>
        <w:t>Proposal 1</w:t>
      </w:r>
      <w:r>
        <w:rPr>
          <w:rFonts w:hint="eastAsia" w:cs="Times New Roman"/>
          <w:b w:val="0"/>
          <w:bCs w:val="0"/>
          <w:lang w:val="en-US" w:eastAsia="zh-CN"/>
        </w:rPr>
        <w:t xml:space="preserve">: use the antenna array assumption in Table 2.1.1 and Table 2.1.2 with the transmission power per sub-array </w:t>
      </w:r>
    </w:p>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cs="Times New Roman"/>
          <w:sz w:val="20"/>
          <w:szCs w:val="20"/>
          <w:lang w:val="en-US" w:eastAsia="zh-CN"/>
        </w:rPr>
      </w:pPr>
      <w:r>
        <w:rPr>
          <w:rFonts w:hint="eastAsia" w:cs="Times New Roman"/>
          <w:b/>
          <w:bCs/>
          <w:lang w:val="en-US" w:eastAsia="zh-CN"/>
        </w:rPr>
        <w:t>Proposal 2</w:t>
      </w:r>
      <w:r>
        <w:rPr>
          <w:rFonts w:hint="eastAsia" w:cs="Times New Roman"/>
          <w:b w:val="0"/>
          <w:bCs w:val="0"/>
          <w:lang w:val="en-US" w:eastAsia="zh-CN"/>
        </w:rPr>
        <w:t xml:space="preserve">: follow the legacy approach and do not consider the Rx number from UE perspective in RAN4 SLS coexistence evaluation. </w:t>
      </w:r>
    </w:p>
    <w:p>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b/>
          <w:bCs/>
          <w:lang w:val="en-US" w:eastAsia="zh-CN"/>
        </w:rPr>
        <w:t>Observation 1</w:t>
      </w:r>
      <w:r>
        <w:rPr>
          <w:rFonts w:hint="eastAsia"/>
          <w:lang w:val="en-US" w:eastAsia="zh-CN"/>
        </w:rPr>
        <w:t>: based on the FR1 like UE assumption, then DL ACIR requirement could be relaxed around 8dB in Urban macro scenario.</w:t>
      </w:r>
    </w:p>
    <w:p>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b/>
          <w:bCs/>
          <w:lang w:val="en-US" w:eastAsia="zh-CN"/>
        </w:rPr>
      </w:pPr>
      <w:r>
        <w:rPr>
          <w:rFonts w:hint="eastAsia"/>
          <w:b/>
          <w:bCs/>
          <w:lang w:val="en-US" w:eastAsia="zh-CN"/>
        </w:rPr>
        <w:t>Observation 2</w:t>
      </w:r>
      <w:r>
        <w:rPr>
          <w:rFonts w:hint="eastAsia"/>
          <w:lang w:val="en-US" w:eastAsia="zh-CN"/>
        </w:rPr>
        <w:t xml:space="preserve">: based on the FR1 like UE assumption, for non-co-located deployment, even with the existing FR1 ACIR requirements under the 20% indoor deployment, it is still challenging to meet the 5% throughput loss criteria in Urban macro scenario. If the indoor deployment is assumed to be 0%, then ACIR requirement could be relaxed around 10dB. </w:t>
      </w:r>
    </w:p>
    <w:p>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b/>
          <w:bCs/>
          <w:lang w:val="en-US" w:eastAsia="zh-CN"/>
        </w:rPr>
        <w:t>Observation 3</w:t>
      </w:r>
      <w:r>
        <w:rPr>
          <w:rFonts w:hint="eastAsia"/>
          <w:lang w:val="en-US" w:eastAsia="zh-CN"/>
        </w:rPr>
        <w:t>: based on the FR2 like UE assumption, then DL ACIR requirement could be relaxed around 10dB in Urban macro scenario.</w:t>
      </w:r>
    </w:p>
    <w:p>
      <w:pPr>
        <w:keepNext w:val="0"/>
        <w:keepLines w:val="0"/>
        <w:pageBreakBefore w:val="0"/>
        <w:widowControl/>
        <w:kinsoku/>
        <w:wordWrap/>
        <w:overflowPunct/>
        <w:topLinePunct w:val="0"/>
        <w:autoSpaceDE/>
        <w:autoSpaceDN/>
        <w:bidi w:val="0"/>
        <w:adjustRightInd/>
        <w:snapToGrid/>
        <w:jc w:val="both"/>
        <w:textAlignment w:val="auto"/>
        <w:rPr>
          <w:rFonts w:hint="eastAsia"/>
          <w:lang w:val="en-US" w:eastAsia="zh-CN"/>
        </w:rPr>
      </w:pPr>
      <w:r>
        <w:rPr>
          <w:rFonts w:hint="eastAsia"/>
          <w:b/>
          <w:bCs/>
          <w:lang w:val="en-US" w:eastAsia="zh-CN"/>
        </w:rPr>
        <w:t>Observation 4</w:t>
      </w:r>
      <w:r>
        <w:rPr>
          <w:rFonts w:hint="eastAsia"/>
          <w:lang w:val="en-US" w:eastAsia="zh-CN"/>
        </w:rPr>
        <w:t>: based on the FR2 like UE assumption, UL ACIR requirement could be relaxed around 10dB in Urban macro scenario.</w:t>
      </w:r>
    </w:p>
    <w:p>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Observation 5</w:t>
      </w:r>
      <w:r>
        <w:rPr>
          <w:rFonts w:hint="eastAsia"/>
          <w:lang w:val="en-US" w:eastAsia="zh-CN"/>
        </w:rPr>
        <w:t>: based on the FR1 like UE assumption, then DL ACIR requirement could be relaxed more than 10dB in the indoor scenario.</w:t>
      </w:r>
    </w:p>
    <w:p>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Observation 6</w:t>
      </w:r>
      <w:r>
        <w:rPr>
          <w:rFonts w:hint="eastAsia"/>
          <w:lang w:val="en-US" w:eastAsia="zh-CN"/>
        </w:rPr>
        <w:t>: based on the FR1 like UE assumption, then UL ACIR requirement could be relaxed more than 10dB in the indoor scenario.</w:t>
      </w:r>
    </w:p>
    <w:p>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Observation 7</w:t>
      </w:r>
      <w:r>
        <w:rPr>
          <w:rFonts w:hint="eastAsia"/>
          <w:lang w:val="en-US" w:eastAsia="zh-CN"/>
        </w:rPr>
        <w:t>: based on the FR2 like UE assumption, then DL ACIR requirement could be relaxed more than 10dB in the indoor scenario.</w:t>
      </w:r>
    </w:p>
    <w:p>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b/>
          <w:bCs/>
          <w:lang w:val="en-US" w:eastAsia="zh-CN"/>
        </w:rPr>
        <w:t>Observation 8</w:t>
      </w:r>
      <w:r>
        <w:rPr>
          <w:rFonts w:hint="eastAsia"/>
          <w:lang w:val="en-US" w:eastAsia="zh-CN"/>
        </w:rPr>
        <w:t>: based on the FR2 like UE assumption, then UL ACIR requirement could be relaxed more than 10dB in the indoor scenario.</w:t>
      </w:r>
    </w:p>
    <w:p>
      <w:pPr>
        <w:pStyle w:val="57"/>
        <w:tabs>
          <w:tab w:val="left" w:pos="567"/>
          <w:tab w:val="clear" w:pos="1985"/>
        </w:tabs>
        <w:adjustRightInd w:val="0"/>
        <w:ind w:left="510" w:hanging="510"/>
      </w:pPr>
      <w:r>
        <w:t>References</w:t>
      </w:r>
    </w:p>
    <w:p>
      <w:pPr>
        <w:pStyle w:val="55"/>
        <w:numPr>
          <w:ilvl w:val="0"/>
          <w:numId w:val="11"/>
        </w:numPr>
        <w:rPr>
          <w:rFonts w:hint="eastAsia" w:ascii="Times New Roman" w:hAnsi="Times New Roman" w:cs="Times New Roman"/>
          <w:sz w:val="20"/>
          <w:szCs w:val="20"/>
        </w:rPr>
      </w:pPr>
      <w:r>
        <w:rPr>
          <w:rFonts w:hint="eastAsia" w:ascii="Times New Roman" w:hAnsi="Times New Roman" w:cs="Times New Roman"/>
          <w:sz w:val="20"/>
          <w:szCs w:val="20"/>
        </w:rPr>
        <w:t>R4-2400333</w:t>
      </w:r>
      <w:r>
        <w:rPr>
          <w:rFonts w:hint="default" w:ascii="Times New Roman" w:hAnsi="Times New Roman" w:cs="Times New Roman"/>
          <w:sz w:val="20"/>
          <w:szCs w:val="20"/>
        </w:rPr>
        <w:t> Parameters of terrestrial component of IMT for sharing and compatibility studies in the frequency bands 4 400-4 800 MHz, 7 125-8 400 MHz and 14.8-15.35 GHz.</w:t>
      </w:r>
    </w:p>
    <w:p>
      <w:pPr>
        <w:pStyle w:val="55"/>
        <w:numPr>
          <w:ilvl w:val="0"/>
          <w:numId w:val="11"/>
        </w:numPr>
        <w:rPr>
          <w:rFonts w:hint="eastAsia" w:ascii="Times New Roman" w:hAnsi="Times New Roman" w:cs="Times New Roman"/>
          <w:sz w:val="20"/>
          <w:szCs w:val="20"/>
        </w:rPr>
      </w:pPr>
      <w:r>
        <w:rPr>
          <w:rFonts w:hint="eastAsia" w:ascii="Times New Roman" w:hAnsi="Times New Roman" w:cs="Times New Roman"/>
          <w:sz w:val="20"/>
          <w:szCs w:val="20"/>
          <w:lang w:val="en-US" w:eastAsia="zh-CN"/>
        </w:rPr>
        <w:t>RP-210037, Reply LS to WP5D, Approved.</w:t>
      </w:r>
    </w:p>
    <w:p>
      <w:pPr>
        <w:pStyle w:val="55"/>
        <w:numPr>
          <w:ilvl w:val="0"/>
          <w:numId w:val="11"/>
        </w:numPr>
        <w:rPr>
          <w:rFonts w:hint="eastAsia"/>
          <w:sz w:val="20"/>
          <w:szCs w:val="20"/>
        </w:rPr>
      </w:pPr>
      <w:r>
        <w:rPr>
          <w:rFonts w:hint="eastAsia" w:ascii="Times New Roman" w:hAnsi="Times New Roman" w:cs="Times New Roman"/>
          <w:sz w:val="20"/>
          <w:szCs w:val="20"/>
        </w:rPr>
        <w:t>RP-240787</w:t>
      </w:r>
      <w:r>
        <w:rPr>
          <w:rFonts w:hint="eastAsia" w:cs="Times New Roman"/>
          <w:sz w:val="20"/>
          <w:szCs w:val="20"/>
          <w:lang w:val="en-US" w:eastAsia="zh-CN"/>
        </w:rPr>
        <w:t>,New SI proposal: Study on IMT parameters for 4400-4800 MHz, 7125-8400 MHz and 14.8-15.35 GHz, Approved.</w:t>
      </w:r>
    </w:p>
    <w:p>
      <w:pPr>
        <w:pStyle w:val="55"/>
        <w:numPr>
          <w:ilvl w:val="0"/>
          <w:numId w:val="11"/>
        </w:numPr>
        <w:rPr>
          <w:rFonts w:hint="eastAsia"/>
          <w:sz w:val="20"/>
          <w:szCs w:val="20"/>
        </w:rPr>
      </w:pPr>
      <w:r>
        <w:rPr>
          <w:rFonts w:hint="eastAsia"/>
          <w:sz w:val="20"/>
          <w:szCs w:val="20"/>
          <w:lang w:val="en-US" w:eastAsia="zh-CN"/>
        </w:rPr>
        <w:t>TR 38.921</w:t>
      </w:r>
    </w:p>
    <w:p>
      <w:pPr>
        <w:pStyle w:val="55"/>
        <w:numPr>
          <w:ilvl w:val="0"/>
          <w:numId w:val="11"/>
        </w:numPr>
        <w:rPr>
          <w:rFonts w:hint="eastAsia"/>
          <w:sz w:val="20"/>
          <w:szCs w:val="20"/>
        </w:rPr>
      </w:pPr>
      <w:r>
        <w:rPr>
          <w:rFonts w:hint="eastAsia"/>
          <w:sz w:val="20"/>
          <w:szCs w:val="20"/>
        </w:rPr>
        <w:fldChar w:fldCharType="begin"/>
      </w:r>
      <w:r>
        <w:rPr>
          <w:rFonts w:hint="eastAsia"/>
          <w:sz w:val="20"/>
          <w:szCs w:val="20"/>
        </w:rPr>
        <w:instrText xml:space="preserve"> HYPERLINK "https://www.itu.int/en/ITU-D/Regional-Presence/AsiaPacific/Documents/Events/2017/Aug-ISS2017/PAPER_Workshop_S3_Timur.pdf" </w:instrText>
      </w:r>
      <w:r>
        <w:rPr>
          <w:rFonts w:hint="eastAsia"/>
          <w:sz w:val="20"/>
          <w:szCs w:val="20"/>
        </w:rPr>
        <w:fldChar w:fldCharType="separate"/>
      </w:r>
      <w:r>
        <w:rPr>
          <w:rFonts w:hint="eastAsia"/>
          <w:sz w:val="20"/>
          <w:szCs w:val="20"/>
        </w:rPr>
        <w:t>https://www.itu.int/en/ITU-D/Regional-Presence/AsiaPacific/Documents/Events/2017/Aug-ISS2017/PAPER_Workshop_S3_Timur.pdf</w:t>
      </w:r>
      <w:r>
        <w:rPr>
          <w:rFonts w:hint="eastAsia"/>
          <w:sz w:val="20"/>
          <w:szCs w:val="20"/>
        </w:rPr>
        <w:fldChar w:fldCharType="end"/>
      </w:r>
    </w:p>
    <w:p>
      <w:pPr>
        <w:pStyle w:val="55"/>
        <w:numPr>
          <w:ilvl w:val="0"/>
          <w:numId w:val="11"/>
        </w:numPr>
        <w:rPr>
          <w:rFonts w:hint="eastAsia"/>
          <w:sz w:val="20"/>
          <w:szCs w:val="20"/>
        </w:rPr>
      </w:pPr>
      <w:r>
        <w:rPr>
          <w:rFonts w:hint="eastAsia" w:ascii="Times New Roman" w:hAnsi="Times New Roman" w:eastAsia="宋体" w:cs="Times New Roman"/>
          <w:kern w:val="2"/>
          <w:sz w:val="20"/>
          <w:szCs w:val="20"/>
          <w:lang w:val="en-US" w:eastAsia="zh-CN" w:bidi="ar"/>
        </w:rPr>
        <w:t>R4-2211224</w:t>
      </w:r>
      <w:r>
        <w:rPr>
          <w:rFonts w:hint="eastAsia" w:cs="Times New Roman"/>
          <w:kern w:val="2"/>
          <w:sz w:val="20"/>
          <w:szCs w:val="20"/>
          <w:lang w:val="en-US" w:eastAsia="zh-CN" w:bidi="ar"/>
        </w:rPr>
        <w:t xml:space="preserve">, </w:t>
      </w:r>
      <w:r>
        <w:rPr>
          <w:rFonts w:hint="eastAsia" w:ascii="Times New Roman" w:hAnsi="Times New Roman" w:eastAsia="宋体" w:cs="Times New Roman"/>
          <w:kern w:val="2"/>
          <w:sz w:val="20"/>
          <w:szCs w:val="20"/>
          <w:lang w:val="en-US" w:eastAsia="zh-CN" w:bidi="ar"/>
        </w:rPr>
        <w:t xml:space="preserve">Introduction of NR licensed band 6425 </w:t>
      </w:r>
      <w:r>
        <w:rPr>
          <w:rFonts w:hint="eastAsia" w:cs="Times New Roman"/>
          <w:kern w:val="2"/>
          <w:sz w:val="20"/>
          <w:szCs w:val="20"/>
          <w:lang w:val="en-US" w:eastAsia="zh-CN" w:bidi="ar"/>
        </w:rPr>
        <w:t>-</w:t>
      </w:r>
      <w:r>
        <w:rPr>
          <w:rFonts w:hint="eastAsia" w:ascii="Times New Roman" w:hAnsi="Times New Roman" w:eastAsia="宋体" w:cs="Times New Roman"/>
          <w:kern w:val="2"/>
          <w:sz w:val="20"/>
          <w:szCs w:val="20"/>
          <w:lang w:val="en-US" w:eastAsia="zh-CN" w:bidi="ar"/>
        </w:rPr>
        <w:t>7125 MHz</w:t>
      </w:r>
      <w:r>
        <w:rPr>
          <w:rFonts w:hint="eastAsia" w:cs="Times New Roman"/>
          <w:kern w:val="2"/>
          <w:sz w:val="20"/>
          <w:szCs w:val="20"/>
          <w:lang w:val="en-US" w:eastAsia="zh-CN" w:bidi="ar"/>
        </w:rPr>
        <w:t>, Approved.</w:t>
      </w:r>
    </w:p>
    <w:p>
      <w:pPr>
        <w:pStyle w:val="55"/>
        <w:numPr>
          <w:ilvl w:val="0"/>
          <w:numId w:val="11"/>
        </w:numPr>
        <w:rPr>
          <w:rFonts w:hint="eastAsia"/>
          <w:sz w:val="20"/>
          <w:szCs w:val="20"/>
        </w:rPr>
      </w:pPr>
      <w:r>
        <w:rPr>
          <w:rFonts w:hint="eastAsia" w:ascii="Times New Roman" w:hAnsi="Times New Roman" w:eastAsia="宋体" w:cs="Times New Roman"/>
          <w:kern w:val="2"/>
          <w:sz w:val="20"/>
          <w:szCs w:val="20"/>
          <w:lang w:val="en-US" w:eastAsia="zh-CN" w:bidi="ar"/>
        </w:rPr>
        <w:fldChar w:fldCharType="begin"/>
      </w:r>
      <w:r>
        <w:rPr>
          <w:rFonts w:hint="eastAsia" w:ascii="Times New Roman" w:hAnsi="Times New Roman" w:eastAsia="宋体" w:cs="Times New Roman"/>
          <w:kern w:val="2"/>
          <w:sz w:val="20"/>
          <w:szCs w:val="20"/>
          <w:lang w:val="en-US" w:eastAsia="zh-CN" w:bidi="ar"/>
        </w:rPr>
        <w:instrText xml:space="preserve"> HYPERLINK "http://10.10.10.10/ftp/RAN/RAN4/Inbox/R4-2414303.zip" </w:instrText>
      </w:r>
      <w:r>
        <w:rPr>
          <w:rFonts w:hint="eastAsia" w:ascii="Times New Roman" w:hAnsi="Times New Roman" w:eastAsia="宋体" w:cs="Times New Roman"/>
          <w:kern w:val="2"/>
          <w:sz w:val="20"/>
          <w:szCs w:val="20"/>
          <w:lang w:val="en-US" w:eastAsia="zh-CN" w:bidi="ar"/>
        </w:rPr>
        <w:fldChar w:fldCharType="separate"/>
      </w:r>
      <w:r>
        <w:rPr>
          <w:rFonts w:hint="eastAsia" w:ascii="Times New Roman" w:hAnsi="Times New Roman" w:eastAsia="宋体" w:cs="Times New Roman"/>
          <w:kern w:val="2"/>
          <w:sz w:val="20"/>
          <w:szCs w:val="20"/>
          <w:lang w:val="en-US" w:eastAsia="zh-CN" w:bidi="ar"/>
        </w:rPr>
        <w:t>R4-2414303</w:t>
      </w:r>
      <w:r>
        <w:rPr>
          <w:rFonts w:hint="eastAsia" w:ascii="Times New Roman" w:hAnsi="Times New Roman" w:eastAsia="宋体" w:cs="Times New Roman"/>
          <w:kern w:val="2"/>
          <w:sz w:val="20"/>
          <w:szCs w:val="20"/>
          <w:lang w:val="en-US" w:eastAsia="zh-CN" w:bidi="ar"/>
        </w:rPr>
        <w:fldChar w:fldCharType="end"/>
      </w:r>
      <w:r>
        <w:rPr>
          <w:rFonts w:hint="eastAsia" w:ascii="Times New Roman" w:hAnsi="Times New Roman" w:eastAsia="宋体" w:cs="Times New Roman"/>
          <w:kern w:val="2"/>
          <w:sz w:val="20"/>
          <w:szCs w:val="20"/>
          <w:lang w:val="en-US" w:eastAsia="zh-CN" w:bidi="ar"/>
        </w:rPr>
        <w:tab/>
      </w:r>
      <w:r>
        <w:rPr>
          <w:rFonts w:hint="eastAsia" w:ascii="Times New Roman" w:hAnsi="Times New Roman" w:eastAsia="宋体" w:cs="Times New Roman"/>
          <w:kern w:val="2"/>
          <w:sz w:val="20"/>
          <w:szCs w:val="20"/>
          <w:lang w:val="en-US" w:eastAsia="zh-CN" w:bidi="ar"/>
        </w:rPr>
        <w:t>TP to TR 38.922: Revisions of system level simulation assumptions for study on IMT parameters for 14800 to 15350 MHz frequency range</w:t>
      </w: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83029C"/>
    <w:multiLevelType w:val="multilevel"/>
    <w:tmpl w:val="BC83029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D520A8F7"/>
    <w:multiLevelType w:val="multilevel"/>
    <w:tmpl w:val="D520A8F7"/>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1876DA6C"/>
    <w:multiLevelType w:val="multilevel"/>
    <w:tmpl w:val="1876DA6C"/>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2838527B"/>
    <w:multiLevelType w:val="multilevel"/>
    <w:tmpl w:val="2838527B"/>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5">
    <w:nsid w:val="2F503AC6"/>
    <w:multiLevelType w:val="multilevel"/>
    <w:tmpl w:val="2F503A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D6FB91D"/>
    <w:multiLevelType w:val="multilevel"/>
    <w:tmpl w:val="4D6FB91D"/>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5970564F"/>
    <w:multiLevelType w:val="multilevel"/>
    <w:tmpl w:val="597056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9">
    <w:nsid w:val="65638E6C"/>
    <w:multiLevelType w:val="multilevel"/>
    <w:tmpl w:val="65638E6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6F43239C"/>
    <w:multiLevelType w:val="multilevel"/>
    <w:tmpl w:val="6F4323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10"/>
  </w:num>
  <w:num w:numId="3">
    <w:abstractNumId w:val="5"/>
  </w:num>
  <w:num w:numId="4">
    <w:abstractNumId w:val="7"/>
  </w:num>
  <w:num w:numId="5">
    <w:abstractNumId w:val="6"/>
  </w:num>
  <w:num w:numId="6">
    <w:abstractNumId w:val="3"/>
  </w:num>
  <w:num w:numId="7">
    <w:abstractNumId w:val="0"/>
  </w:num>
  <w:num w:numId="8">
    <w:abstractNumId w:val="4"/>
  </w:num>
  <w:num w:numId="9">
    <w:abstractNumId w:val="9"/>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3B0"/>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71"/>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4E7"/>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67C26"/>
    <w:rsid w:val="01586859"/>
    <w:rsid w:val="01594895"/>
    <w:rsid w:val="015C06BF"/>
    <w:rsid w:val="015D1618"/>
    <w:rsid w:val="015F18F2"/>
    <w:rsid w:val="015F5FA3"/>
    <w:rsid w:val="016800B9"/>
    <w:rsid w:val="017059E0"/>
    <w:rsid w:val="0171654A"/>
    <w:rsid w:val="017574CE"/>
    <w:rsid w:val="01791D2E"/>
    <w:rsid w:val="01821D8F"/>
    <w:rsid w:val="01864D3B"/>
    <w:rsid w:val="018C2266"/>
    <w:rsid w:val="018C3642"/>
    <w:rsid w:val="018D7DCE"/>
    <w:rsid w:val="0195201D"/>
    <w:rsid w:val="01963AF1"/>
    <w:rsid w:val="019C3DA8"/>
    <w:rsid w:val="019E267E"/>
    <w:rsid w:val="01A402CD"/>
    <w:rsid w:val="01A742A2"/>
    <w:rsid w:val="01B367C6"/>
    <w:rsid w:val="01BE34DB"/>
    <w:rsid w:val="01BE6ACE"/>
    <w:rsid w:val="01C027D4"/>
    <w:rsid w:val="01C0490E"/>
    <w:rsid w:val="01C14745"/>
    <w:rsid w:val="01C32135"/>
    <w:rsid w:val="01CB0428"/>
    <w:rsid w:val="01CB7A2C"/>
    <w:rsid w:val="01CF07AE"/>
    <w:rsid w:val="01D20769"/>
    <w:rsid w:val="01D311AE"/>
    <w:rsid w:val="01D518FC"/>
    <w:rsid w:val="01D615E1"/>
    <w:rsid w:val="01D70F12"/>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1E44BA"/>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05EF6"/>
    <w:rsid w:val="028748E0"/>
    <w:rsid w:val="02892A7A"/>
    <w:rsid w:val="028A28CC"/>
    <w:rsid w:val="02927A98"/>
    <w:rsid w:val="029342BD"/>
    <w:rsid w:val="029D3139"/>
    <w:rsid w:val="02A12134"/>
    <w:rsid w:val="02A45C25"/>
    <w:rsid w:val="02A45D67"/>
    <w:rsid w:val="02AA2805"/>
    <w:rsid w:val="02AF6836"/>
    <w:rsid w:val="02B06DC0"/>
    <w:rsid w:val="02B31189"/>
    <w:rsid w:val="02B85839"/>
    <w:rsid w:val="02BD4F9F"/>
    <w:rsid w:val="02C02DD6"/>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060E"/>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776BE2"/>
    <w:rsid w:val="037B4AA0"/>
    <w:rsid w:val="03822F79"/>
    <w:rsid w:val="038B3715"/>
    <w:rsid w:val="039568DC"/>
    <w:rsid w:val="0395764C"/>
    <w:rsid w:val="039B69FD"/>
    <w:rsid w:val="03A32E58"/>
    <w:rsid w:val="03AC2829"/>
    <w:rsid w:val="03B20D4E"/>
    <w:rsid w:val="03B728E0"/>
    <w:rsid w:val="03C0647A"/>
    <w:rsid w:val="03C4766B"/>
    <w:rsid w:val="03C6618A"/>
    <w:rsid w:val="03C80D80"/>
    <w:rsid w:val="03C94F45"/>
    <w:rsid w:val="03CD06E1"/>
    <w:rsid w:val="03CD6E1F"/>
    <w:rsid w:val="03D077B2"/>
    <w:rsid w:val="03D2121B"/>
    <w:rsid w:val="03D4427A"/>
    <w:rsid w:val="03E54642"/>
    <w:rsid w:val="03F54B29"/>
    <w:rsid w:val="03F81356"/>
    <w:rsid w:val="03F947E9"/>
    <w:rsid w:val="03FC7097"/>
    <w:rsid w:val="03FF3D36"/>
    <w:rsid w:val="04034FE6"/>
    <w:rsid w:val="0409203D"/>
    <w:rsid w:val="040B2442"/>
    <w:rsid w:val="040C386D"/>
    <w:rsid w:val="040C6238"/>
    <w:rsid w:val="040E704D"/>
    <w:rsid w:val="041126FA"/>
    <w:rsid w:val="041875C1"/>
    <w:rsid w:val="04193A43"/>
    <w:rsid w:val="041E3ED0"/>
    <w:rsid w:val="04204DAC"/>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71D72"/>
    <w:rsid w:val="046E568E"/>
    <w:rsid w:val="04745EB1"/>
    <w:rsid w:val="04786E64"/>
    <w:rsid w:val="04786ED3"/>
    <w:rsid w:val="04811E74"/>
    <w:rsid w:val="04856247"/>
    <w:rsid w:val="04865E52"/>
    <w:rsid w:val="04875104"/>
    <w:rsid w:val="048829D4"/>
    <w:rsid w:val="048E05CB"/>
    <w:rsid w:val="048E5251"/>
    <w:rsid w:val="04971B44"/>
    <w:rsid w:val="049B40DC"/>
    <w:rsid w:val="04A128B3"/>
    <w:rsid w:val="04A145B6"/>
    <w:rsid w:val="04A3117E"/>
    <w:rsid w:val="04C6655F"/>
    <w:rsid w:val="04CD2C67"/>
    <w:rsid w:val="04D66461"/>
    <w:rsid w:val="04D95F6F"/>
    <w:rsid w:val="04E06510"/>
    <w:rsid w:val="04E17CFD"/>
    <w:rsid w:val="04EB0520"/>
    <w:rsid w:val="04ED5A99"/>
    <w:rsid w:val="04FB4499"/>
    <w:rsid w:val="04FF76AB"/>
    <w:rsid w:val="05010225"/>
    <w:rsid w:val="051034CD"/>
    <w:rsid w:val="05125538"/>
    <w:rsid w:val="051F43BC"/>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678B3"/>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A5F9E"/>
    <w:rsid w:val="05AD341A"/>
    <w:rsid w:val="05B0226D"/>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D1485"/>
    <w:rsid w:val="06AE0568"/>
    <w:rsid w:val="06AF116F"/>
    <w:rsid w:val="06AF1438"/>
    <w:rsid w:val="06B506C7"/>
    <w:rsid w:val="06B548E2"/>
    <w:rsid w:val="06BA7F49"/>
    <w:rsid w:val="06BB4F9D"/>
    <w:rsid w:val="06C72EBF"/>
    <w:rsid w:val="06C91DA5"/>
    <w:rsid w:val="06C9247F"/>
    <w:rsid w:val="06CA43E9"/>
    <w:rsid w:val="06CD3A64"/>
    <w:rsid w:val="06CD47D4"/>
    <w:rsid w:val="06D47613"/>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35D3D"/>
    <w:rsid w:val="07382C97"/>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529B5"/>
    <w:rsid w:val="07A80D41"/>
    <w:rsid w:val="07AA3E51"/>
    <w:rsid w:val="07B354B0"/>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81DD8"/>
    <w:rsid w:val="080F4BCD"/>
    <w:rsid w:val="08171593"/>
    <w:rsid w:val="0827264B"/>
    <w:rsid w:val="082A0972"/>
    <w:rsid w:val="0835476E"/>
    <w:rsid w:val="08367FC2"/>
    <w:rsid w:val="08391661"/>
    <w:rsid w:val="083B7285"/>
    <w:rsid w:val="084E0029"/>
    <w:rsid w:val="08550FFB"/>
    <w:rsid w:val="085B2B84"/>
    <w:rsid w:val="085B5CAA"/>
    <w:rsid w:val="085D6C7E"/>
    <w:rsid w:val="08611CAF"/>
    <w:rsid w:val="0865781A"/>
    <w:rsid w:val="0866133E"/>
    <w:rsid w:val="08692F64"/>
    <w:rsid w:val="087716A2"/>
    <w:rsid w:val="08780590"/>
    <w:rsid w:val="087B2F0C"/>
    <w:rsid w:val="087E046C"/>
    <w:rsid w:val="08813C88"/>
    <w:rsid w:val="088D794D"/>
    <w:rsid w:val="08942BDF"/>
    <w:rsid w:val="089852F1"/>
    <w:rsid w:val="08990610"/>
    <w:rsid w:val="089B5449"/>
    <w:rsid w:val="089D6B7D"/>
    <w:rsid w:val="08A03B5E"/>
    <w:rsid w:val="08A275F2"/>
    <w:rsid w:val="08A77E0D"/>
    <w:rsid w:val="08AA60D3"/>
    <w:rsid w:val="08B21918"/>
    <w:rsid w:val="08B40442"/>
    <w:rsid w:val="08B94847"/>
    <w:rsid w:val="08C14001"/>
    <w:rsid w:val="08C83275"/>
    <w:rsid w:val="08C848A1"/>
    <w:rsid w:val="08CF2EF9"/>
    <w:rsid w:val="08D836B6"/>
    <w:rsid w:val="08D964D0"/>
    <w:rsid w:val="08E05424"/>
    <w:rsid w:val="08EB69A1"/>
    <w:rsid w:val="08F10FA0"/>
    <w:rsid w:val="08F1525E"/>
    <w:rsid w:val="08F5200D"/>
    <w:rsid w:val="08F85810"/>
    <w:rsid w:val="08F87A74"/>
    <w:rsid w:val="08F911CC"/>
    <w:rsid w:val="09016732"/>
    <w:rsid w:val="09074686"/>
    <w:rsid w:val="09081EC6"/>
    <w:rsid w:val="09127CF4"/>
    <w:rsid w:val="09157ADC"/>
    <w:rsid w:val="09157E5B"/>
    <w:rsid w:val="091C6E55"/>
    <w:rsid w:val="092073EA"/>
    <w:rsid w:val="092234B5"/>
    <w:rsid w:val="09226860"/>
    <w:rsid w:val="092275F6"/>
    <w:rsid w:val="09243333"/>
    <w:rsid w:val="092816B4"/>
    <w:rsid w:val="092A235F"/>
    <w:rsid w:val="092A7AD4"/>
    <w:rsid w:val="092C26C9"/>
    <w:rsid w:val="092C2F3C"/>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E3D76"/>
    <w:rsid w:val="096F18AA"/>
    <w:rsid w:val="096F1D52"/>
    <w:rsid w:val="09713F26"/>
    <w:rsid w:val="09716BC4"/>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9FA34EB"/>
    <w:rsid w:val="0A093274"/>
    <w:rsid w:val="0A0E6073"/>
    <w:rsid w:val="0A145E2C"/>
    <w:rsid w:val="0A1A2E51"/>
    <w:rsid w:val="0A200374"/>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429F3"/>
    <w:rsid w:val="0A6B69C2"/>
    <w:rsid w:val="0A7200B0"/>
    <w:rsid w:val="0A741F08"/>
    <w:rsid w:val="0A771CA5"/>
    <w:rsid w:val="0A7A2F0F"/>
    <w:rsid w:val="0A7F11A2"/>
    <w:rsid w:val="0A7F4F37"/>
    <w:rsid w:val="0A843B9D"/>
    <w:rsid w:val="0A8621F2"/>
    <w:rsid w:val="0A8A7513"/>
    <w:rsid w:val="0A8C26DA"/>
    <w:rsid w:val="0A8C711B"/>
    <w:rsid w:val="0A8F1F9F"/>
    <w:rsid w:val="0A8F6BA7"/>
    <w:rsid w:val="0A9124C9"/>
    <w:rsid w:val="0A940DEC"/>
    <w:rsid w:val="0A9B6BF5"/>
    <w:rsid w:val="0A9E5B2C"/>
    <w:rsid w:val="0AA24BFF"/>
    <w:rsid w:val="0AA40CFE"/>
    <w:rsid w:val="0AA4164F"/>
    <w:rsid w:val="0AA50074"/>
    <w:rsid w:val="0AAB401F"/>
    <w:rsid w:val="0AB329A9"/>
    <w:rsid w:val="0ABA55D8"/>
    <w:rsid w:val="0AC23AEF"/>
    <w:rsid w:val="0ACD4245"/>
    <w:rsid w:val="0AD57FD6"/>
    <w:rsid w:val="0AD618DC"/>
    <w:rsid w:val="0AD84FAB"/>
    <w:rsid w:val="0ADD7B55"/>
    <w:rsid w:val="0ADF4323"/>
    <w:rsid w:val="0AE00E26"/>
    <w:rsid w:val="0AE70A68"/>
    <w:rsid w:val="0AF3491F"/>
    <w:rsid w:val="0AFC521E"/>
    <w:rsid w:val="0AFE0751"/>
    <w:rsid w:val="0B0363ED"/>
    <w:rsid w:val="0B0569D0"/>
    <w:rsid w:val="0B097D2B"/>
    <w:rsid w:val="0B110AC0"/>
    <w:rsid w:val="0B1157EF"/>
    <w:rsid w:val="0B1232AE"/>
    <w:rsid w:val="0B155EAD"/>
    <w:rsid w:val="0B1765E0"/>
    <w:rsid w:val="0B1A6D7A"/>
    <w:rsid w:val="0B1C1D7C"/>
    <w:rsid w:val="0B1D3582"/>
    <w:rsid w:val="0B22066E"/>
    <w:rsid w:val="0B2643BE"/>
    <w:rsid w:val="0B2B1908"/>
    <w:rsid w:val="0B2D6095"/>
    <w:rsid w:val="0B2D66EE"/>
    <w:rsid w:val="0B3F2432"/>
    <w:rsid w:val="0B4746C8"/>
    <w:rsid w:val="0B4D5218"/>
    <w:rsid w:val="0B51337F"/>
    <w:rsid w:val="0B513DBF"/>
    <w:rsid w:val="0B5647A9"/>
    <w:rsid w:val="0B585AD0"/>
    <w:rsid w:val="0B5C1166"/>
    <w:rsid w:val="0B5C18DB"/>
    <w:rsid w:val="0B5C42B3"/>
    <w:rsid w:val="0B5D5C62"/>
    <w:rsid w:val="0B5F215C"/>
    <w:rsid w:val="0B6003A9"/>
    <w:rsid w:val="0B605DE1"/>
    <w:rsid w:val="0B615169"/>
    <w:rsid w:val="0B622E13"/>
    <w:rsid w:val="0B651A68"/>
    <w:rsid w:val="0B653B79"/>
    <w:rsid w:val="0B717521"/>
    <w:rsid w:val="0B7B39A8"/>
    <w:rsid w:val="0B8307A0"/>
    <w:rsid w:val="0B841D24"/>
    <w:rsid w:val="0B851E07"/>
    <w:rsid w:val="0B857CF5"/>
    <w:rsid w:val="0B884E90"/>
    <w:rsid w:val="0B892782"/>
    <w:rsid w:val="0B930F0D"/>
    <w:rsid w:val="0B936E39"/>
    <w:rsid w:val="0B9538BE"/>
    <w:rsid w:val="0B9B4AEA"/>
    <w:rsid w:val="0B9C0905"/>
    <w:rsid w:val="0B9E13B0"/>
    <w:rsid w:val="0BA50427"/>
    <w:rsid w:val="0BA935EB"/>
    <w:rsid w:val="0BAA0B6D"/>
    <w:rsid w:val="0BB02C8B"/>
    <w:rsid w:val="0BB2460A"/>
    <w:rsid w:val="0BB41A6B"/>
    <w:rsid w:val="0BB41CFB"/>
    <w:rsid w:val="0BB53F3C"/>
    <w:rsid w:val="0BB87F28"/>
    <w:rsid w:val="0BC00376"/>
    <w:rsid w:val="0BC739F0"/>
    <w:rsid w:val="0BCA5242"/>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EE6D0E"/>
    <w:rsid w:val="0CF5634C"/>
    <w:rsid w:val="0D0213CD"/>
    <w:rsid w:val="0D022D49"/>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36E1D"/>
    <w:rsid w:val="0D771AFB"/>
    <w:rsid w:val="0D7969D7"/>
    <w:rsid w:val="0D826C81"/>
    <w:rsid w:val="0D845BD8"/>
    <w:rsid w:val="0D904522"/>
    <w:rsid w:val="0D976014"/>
    <w:rsid w:val="0D9E0D32"/>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A4BA2"/>
    <w:rsid w:val="0DEC2174"/>
    <w:rsid w:val="0DED634E"/>
    <w:rsid w:val="0DEE77C3"/>
    <w:rsid w:val="0DF0225F"/>
    <w:rsid w:val="0DF367C2"/>
    <w:rsid w:val="0DFC48AF"/>
    <w:rsid w:val="0DFF2594"/>
    <w:rsid w:val="0E0313B1"/>
    <w:rsid w:val="0E043FF3"/>
    <w:rsid w:val="0E062A96"/>
    <w:rsid w:val="0E0D1A47"/>
    <w:rsid w:val="0E1619F9"/>
    <w:rsid w:val="0E176FCD"/>
    <w:rsid w:val="0E186912"/>
    <w:rsid w:val="0E193FCB"/>
    <w:rsid w:val="0E1C0C6C"/>
    <w:rsid w:val="0E2134C9"/>
    <w:rsid w:val="0E232F90"/>
    <w:rsid w:val="0E281319"/>
    <w:rsid w:val="0E3217E8"/>
    <w:rsid w:val="0E387AA5"/>
    <w:rsid w:val="0E393B3A"/>
    <w:rsid w:val="0E3F0E9A"/>
    <w:rsid w:val="0E400D03"/>
    <w:rsid w:val="0E406D5C"/>
    <w:rsid w:val="0E485C9B"/>
    <w:rsid w:val="0E4D4B22"/>
    <w:rsid w:val="0E4F2D85"/>
    <w:rsid w:val="0E5A04BE"/>
    <w:rsid w:val="0E5E2B07"/>
    <w:rsid w:val="0E5F55B1"/>
    <w:rsid w:val="0E6A0F47"/>
    <w:rsid w:val="0E6A1721"/>
    <w:rsid w:val="0E7454FD"/>
    <w:rsid w:val="0E752596"/>
    <w:rsid w:val="0E771E51"/>
    <w:rsid w:val="0E774F98"/>
    <w:rsid w:val="0E794AC9"/>
    <w:rsid w:val="0E796EA0"/>
    <w:rsid w:val="0E7A2A61"/>
    <w:rsid w:val="0E7A2CD0"/>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07BF7"/>
    <w:rsid w:val="0ED12B32"/>
    <w:rsid w:val="0ED42F9E"/>
    <w:rsid w:val="0EDA48C8"/>
    <w:rsid w:val="0EDC5CD2"/>
    <w:rsid w:val="0EDC75B1"/>
    <w:rsid w:val="0EDF4FC5"/>
    <w:rsid w:val="0EE6687B"/>
    <w:rsid w:val="0EE77EDF"/>
    <w:rsid w:val="0EEC53AA"/>
    <w:rsid w:val="0EEE3490"/>
    <w:rsid w:val="0EF75D05"/>
    <w:rsid w:val="0EF957FE"/>
    <w:rsid w:val="0EFE2ACB"/>
    <w:rsid w:val="0F063196"/>
    <w:rsid w:val="0F0752A8"/>
    <w:rsid w:val="0F087675"/>
    <w:rsid w:val="0F0D240A"/>
    <w:rsid w:val="0F0E2F3A"/>
    <w:rsid w:val="0F12247A"/>
    <w:rsid w:val="0F1D0ECD"/>
    <w:rsid w:val="0F25602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D0B31"/>
    <w:rsid w:val="0F5F48DA"/>
    <w:rsid w:val="0F6A1108"/>
    <w:rsid w:val="0F704CEF"/>
    <w:rsid w:val="0F7514AB"/>
    <w:rsid w:val="0F7C4621"/>
    <w:rsid w:val="0F7D786D"/>
    <w:rsid w:val="0F7E4DAF"/>
    <w:rsid w:val="0F7E6AED"/>
    <w:rsid w:val="0F80243B"/>
    <w:rsid w:val="0F842AF1"/>
    <w:rsid w:val="0F8E6521"/>
    <w:rsid w:val="0F8F27CB"/>
    <w:rsid w:val="0F973AE6"/>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0FEE6FAE"/>
    <w:rsid w:val="10036C5E"/>
    <w:rsid w:val="10045EE6"/>
    <w:rsid w:val="10071FE5"/>
    <w:rsid w:val="100C1580"/>
    <w:rsid w:val="100D3B17"/>
    <w:rsid w:val="10145447"/>
    <w:rsid w:val="10154FE6"/>
    <w:rsid w:val="10201287"/>
    <w:rsid w:val="1023666E"/>
    <w:rsid w:val="1024103C"/>
    <w:rsid w:val="1031492B"/>
    <w:rsid w:val="103356D2"/>
    <w:rsid w:val="1035409F"/>
    <w:rsid w:val="1035503C"/>
    <w:rsid w:val="1037078D"/>
    <w:rsid w:val="103806C3"/>
    <w:rsid w:val="103A7991"/>
    <w:rsid w:val="103E5BEB"/>
    <w:rsid w:val="103F5AB4"/>
    <w:rsid w:val="104052A4"/>
    <w:rsid w:val="10413A4E"/>
    <w:rsid w:val="10462479"/>
    <w:rsid w:val="104710A5"/>
    <w:rsid w:val="104830A2"/>
    <w:rsid w:val="104B2D15"/>
    <w:rsid w:val="104D41B8"/>
    <w:rsid w:val="104E13BC"/>
    <w:rsid w:val="104F70F6"/>
    <w:rsid w:val="105164F8"/>
    <w:rsid w:val="10536DD6"/>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A27D57"/>
    <w:rsid w:val="10B4235C"/>
    <w:rsid w:val="10B7486E"/>
    <w:rsid w:val="10BB2E7F"/>
    <w:rsid w:val="10BD429D"/>
    <w:rsid w:val="10BF0005"/>
    <w:rsid w:val="10C40346"/>
    <w:rsid w:val="10C42076"/>
    <w:rsid w:val="10C85160"/>
    <w:rsid w:val="10CC5735"/>
    <w:rsid w:val="10D5129D"/>
    <w:rsid w:val="10D679E0"/>
    <w:rsid w:val="10DB11B5"/>
    <w:rsid w:val="10DF786B"/>
    <w:rsid w:val="10E018B7"/>
    <w:rsid w:val="10EC75B1"/>
    <w:rsid w:val="10F3083F"/>
    <w:rsid w:val="10F33CC1"/>
    <w:rsid w:val="10FA45D2"/>
    <w:rsid w:val="10FD6E37"/>
    <w:rsid w:val="11002D49"/>
    <w:rsid w:val="11024527"/>
    <w:rsid w:val="11076F85"/>
    <w:rsid w:val="110A4489"/>
    <w:rsid w:val="110C5144"/>
    <w:rsid w:val="11150F62"/>
    <w:rsid w:val="11185797"/>
    <w:rsid w:val="111A28E5"/>
    <w:rsid w:val="111D46E5"/>
    <w:rsid w:val="111E5679"/>
    <w:rsid w:val="11201CC8"/>
    <w:rsid w:val="11280A27"/>
    <w:rsid w:val="112A64AC"/>
    <w:rsid w:val="112F54D2"/>
    <w:rsid w:val="1133321C"/>
    <w:rsid w:val="113B291C"/>
    <w:rsid w:val="11457D8C"/>
    <w:rsid w:val="11461F96"/>
    <w:rsid w:val="114952D6"/>
    <w:rsid w:val="114C3CA8"/>
    <w:rsid w:val="114D3A1D"/>
    <w:rsid w:val="115049F7"/>
    <w:rsid w:val="11562BF2"/>
    <w:rsid w:val="11576536"/>
    <w:rsid w:val="1158188A"/>
    <w:rsid w:val="115F7B83"/>
    <w:rsid w:val="11607F73"/>
    <w:rsid w:val="11613A1B"/>
    <w:rsid w:val="116A3BB2"/>
    <w:rsid w:val="1170203B"/>
    <w:rsid w:val="11703DE0"/>
    <w:rsid w:val="117338ED"/>
    <w:rsid w:val="11733F8E"/>
    <w:rsid w:val="117561EB"/>
    <w:rsid w:val="11781FEE"/>
    <w:rsid w:val="117824F0"/>
    <w:rsid w:val="117E09BE"/>
    <w:rsid w:val="117E2370"/>
    <w:rsid w:val="117F2E3D"/>
    <w:rsid w:val="11800455"/>
    <w:rsid w:val="11847341"/>
    <w:rsid w:val="118778A0"/>
    <w:rsid w:val="118F59A9"/>
    <w:rsid w:val="118F5D6B"/>
    <w:rsid w:val="11976717"/>
    <w:rsid w:val="11996649"/>
    <w:rsid w:val="119C152C"/>
    <w:rsid w:val="11A030A8"/>
    <w:rsid w:val="11AA61BD"/>
    <w:rsid w:val="11AB222F"/>
    <w:rsid w:val="11AC7561"/>
    <w:rsid w:val="11AE6531"/>
    <w:rsid w:val="11AF439E"/>
    <w:rsid w:val="11B50817"/>
    <w:rsid w:val="11B6439C"/>
    <w:rsid w:val="11B66269"/>
    <w:rsid w:val="11BA0839"/>
    <w:rsid w:val="11BE25B0"/>
    <w:rsid w:val="11C15906"/>
    <w:rsid w:val="11CA3974"/>
    <w:rsid w:val="11D96062"/>
    <w:rsid w:val="11E4369D"/>
    <w:rsid w:val="11E53250"/>
    <w:rsid w:val="11EA6B41"/>
    <w:rsid w:val="11EE4F27"/>
    <w:rsid w:val="11F0307F"/>
    <w:rsid w:val="11F267E8"/>
    <w:rsid w:val="11F427FC"/>
    <w:rsid w:val="11FA2D7A"/>
    <w:rsid w:val="11FB36E8"/>
    <w:rsid w:val="12066C25"/>
    <w:rsid w:val="1206748C"/>
    <w:rsid w:val="12103122"/>
    <w:rsid w:val="1210456D"/>
    <w:rsid w:val="12134828"/>
    <w:rsid w:val="12143598"/>
    <w:rsid w:val="12166EF4"/>
    <w:rsid w:val="121729B6"/>
    <w:rsid w:val="12205406"/>
    <w:rsid w:val="12220941"/>
    <w:rsid w:val="122A6318"/>
    <w:rsid w:val="122C6138"/>
    <w:rsid w:val="12322148"/>
    <w:rsid w:val="12323B41"/>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A30CB"/>
    <w:rsid w:val="128B7C40"/>
    <w:rsid w:val="128C036A"/>
    <w:rsid w:val="128E70AD"/>
    <w:rsid w:val="129535C1"/>
    <w:rsid w:val="12976F0D"/>
    <w:rsid w:val="129D41B7"/>
    <w:rsid w:val="12A45BB3"/>
    <w:rsid w:val="12A9130F"/>
    <w:rsid w:val="12AB0CA2"/>
    <w:rsid w:val="12AC51B9"/>
    <w:rsid w:val="12AF7E37"/>
    <w:rsid w:val="12B1068C"/>
    <w:rsid w:val="12B371AD"/>
    <w:rsid w:val="12B43B19"/>
    <w:rsid w:val="12B5075C"/>
    <w:rsid w:val="12BA49C0"/>
    <w:rsid w:val="12BC3C60"/>
    <w:rsid w:val="12C15F00"/>
    <w:rsid w:val="12C2679E"/>
    <w:rsid w:val="12C413AC"/>
    <w:rsid w:val="12C667C3"/>
    <w:rsid w:val="12C77089"/>
    <w:rsid w:val="12CB4026"/>
    <w:rsid w:val="12D16C9D"/>
    <w:rsid w:val="12D20ECB"/>
    <w:rsid w:val="12D3580F"/>
    <w:rsid w:val="12D93C20"/>
    <w:rsid w:val="12D95CCD"/>
    <w:rsid w:val="12DD694C"/>
    <w:rsid w:val="12DF0C5E"/>
    <w:rsid w:val="12E302DA"/>
    <w:rsid w:val="12EC215C"/>
    <w:rsid w:val="12ED7EEF"/>
    <w:rsid w:val="12EE6AFD"/>
    <w:rsid w:val="12F538D3"/>
    <w:rsid w:val="12F85F0D"/>
    <w:rsid w:val="12F97513"/>
    <w:rsid w:val="12FA6C0E"/>
    <w:rsid w:val="12FB512F"/>
    <w:rsid w:val="12FB7F3D"/>
    <w:rsid w:val="13017E6E"/>
    <w:rsid w:val="130611C7"/>
    <w:rsid w:val="1306326A"/>
    <w:rsid w:val="130C7624"/>
    <w:rsid w:val="130D7CA1"/>
    <w:rsid w:val="131046DE"/>
    <w:rsid w:val="13172F98"/>
    <w:rsid w:val="131B2229"/>
    <w:rsid w:val="131B463A"/>
    <w:rsid w:val="131D12BF"/>
    <w:rsid w:val="131D5DAE"/>
    <w:rsid w:val="132013EF"/>
    <w:rsid w:val="13217B01"/>
    <w:rsid w:val="132456E4"/>
    <w:rsid w:val="13253FC4"/>
    <w:rsid w:val="132625C2"/>
    <w:rsid w:val="132A7435"/>
    <w:rsid w:val="13322AD3"/>
    <w:rsid w:val="133B5756"/>
    <w:rsid w:val="133C10D2"/>
    <w:rsid w:val="134904A6"/>
    <w:rsid w:val="1357258A"/>
    <w:rsid w:val="135845C3"/>
    <w:rsid w:val="135F5E4E"/>
    <w:rsid w:val="136374E8"/>
    <w:rsid w:val="1377654A"/>
    <w:rsid w:val="137D1A4D"/>
    <w:rsid w:val="137E6A2E"/>
    <w:rsid w:val="137F1B10"/>
    <w:rsid w:val="137F4E27"/>
    <w:rsid w:val="1382164E"/>
    <w:rsid w:val="13833EEA"/>
    <w:rsid w:val="1386041C"/>
    <w:rsid w:val="1387444F"/>
    <w:rsid w:val="138C7615"/>
    <w:rsid w:val="13903BFA"/>
    <w:rsid w:val="13913843"/>
    <w:rsid w:val="1391735C"/>
    <w:rsid w:val="13920C1D"/>
    <w:rsid w:val="13937FAD"/>
    <w:rsid w:val="13962CE5"/>
    <w:rsid w:val="13976A24"/>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104B3"/>
    <w:rsid w:val="13F22B81"/>
    <w:rsid w:val="13F41B61"/>
    <w:rsid w:val="13FD4FCC"/>
    <w:rsid w:val="13FE285E"/>
    <w:rsid w:val="1400502D"/>
    <w:rsid w:val="140D5E1A"/>
    <w:rsid w:val="1410395F"/>
    <w:rsid w:val="1411115B"/>
    <w:rsid w:val="141624C3"/>
    <w:rsid w:val="141B08A6"/>
    <w:rsid w:val="14220CA7"/>
    <w:rsid w:val="142E6CAD"/>
    <w:rsid w:val="14352445"/>
    <w:rsid w:val="143802F8"/>
    <w:rsid w:val="144442DA"/>
    <w:rsid w:val="144C6544"/>
    <w:rsid w:val="144F7DD8"/>
    <w:rsid w:val="14547289"/>
    <w:rsid w:val="14556F31"/>
    <w:rsid w:val="14601A0D"/>
    <w:rsid w:val="14697AC5"/>
    <w:rsid w:val="14702D18"/>
    <w:rsid w:val="147538F3"/>
    <w:rsid w:val="147544B0"/>
    <w:rsid w:val="14794C74"/>
    <w:rsid w:val="14812D74"/>
    <w:rsid w:val="148361ED"/>
    <w:rsid w:val="14836C15"/>
    <w:rsid w:val="14862300"/>
    <w:rsid w:val="148B50C9"/>
    <w:rsid w:val="148C00A0"/>
    <w:rsid w:val="148D3653"/>
    <w:rsid w:val="149363B8"/>
    <w:rsid w:val="149E0A7B"/>
    <w:rsid w:val="14A75504"/>
    <w:rsid w:val="14A82A63"/>
    <w:rsid w:val="14A86EA4"/>
    <w:rsid w:val="14A874EA"/>
    <w:rsid w:val="14AC358C"/>
    <w:rsid w:val="14AD2764"/>
    <w:rsid w:val="14B227CC"/>
    <w:rsid w:val="14B76730"/>
    <w:rsid w:val="14B96857"/>
    <w:rsid w:val="14C41B84"/>
    <w:rsid w:val="14C42DC7"/>
    <w:rsid w:val="14C767C8"/>
    <w:rsid w:val="14CC380F"/>
    <w:rsid w:val="14DB1D1B"/>
    <w:rsid w:val="14DE753E"/>
    <w:rsid w:val="14E44DD8"/>
    <w:rsid w:val="14E64628"/>
    <w:rsid w:val="14E81AD4"/>
    <w:rsid w:val="14F16663"/>
    <w:rsid w:val="14F37724"/>
    <w:rsid w:val="14F51028"/>
    <w:rsid w:val="14F549EC"/>
    <w:rsid w:val="14F92549"/>
    <w:rsid w:val="14FB2DCA"/>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046E"/>
    <w:rsid w:val="152E6293"/>
    <w:rsid w:val="15325A1E"/>
    <w:rsid w:val="153B59AE"/>
    <w:rsid w:val="1542012A"/>
    <w:rsid w:val="15422ACA"/>
    <w:rsid w:val="154D4A84"/>
    <w:rsid w:val="155424D6"/>
    <w:rsid w:val="155605E9"/>
    <w:rsid w:val="155B1745"/>
    <w:rsid w:val="155F651D"/>
    <w:rsid w:val="15655F19"/>
    <w:rsid w:val="156870BF"/>
    <w:rsid w:val="157348EB"/>
    <w:rsid w:val="157439A9"/>
    <w:rsid w:val="157500D8"/>
    <w:rsid w:val="15787FE5"/>
    <w:rsid w:val="157A5E3B"/>
    <w:rsid w:val="157E21FE"/>
    <w:rsid w:val="157E5AA6"/>
    <w:rsid w:val="157F4CD7"/>
    <w:rsid w:val="158709E9"/>
    <w:rsid w:val="1587411C"/>
    <w:rsid w:val="15880BD1"/>
    <w:rsid w:val="15892AE3"/>
    <w:rsid w:val="158C59BD"/>
    <w:rsid w:val="159332D7"/>
    <w:rsid w:val="15940459"/>
    <w:rsid w:val="159669D6"/>
    <w:rsid w:val="159859F4"/>
    <w:rsid w:val="15A8039B"/>
    <w:rsid w:val="15A80FDC"/>
    <w:rsid w:val="15AA7A19"/>
    <w:rsid w:val="15AC5259"/>
    <w:rsid w:val="15AE02B1"/>
    <w:rsid w:val="15AE46FA"/>
    <w:rsid w:val="15AE5475"/>
    <w:rsid w:val="15B06B12"/>
    <w:rsid w:val="15B21729"/>
    <w:rsid w:val="15B75136"/>
    <w:rsid w:val="15BE3D9D"/>
    <w:rsid w:val="15C02C76"/>
    <w:rsid w:val="15C23737"/>
    <w:rsid w:val="15C4476E"/>
    <w:rsid w:val="15C61DCD"/>
    <w:rsid w:val="15D4474D"/>
    <w:rsid w:val="15D71B77"/>
    <w:rsid w:val="15D7597F"/>
    <w:rsid w:val="15DF00D0"/>
    <w:rsid w:val="15E32BB5"/>
    <w:rsid w:val="15E53C49"/>
    <w:rsid w:val="15F53F0F"/>
    <w:rsid w:val="160A3803"/>
    <w:rsid w:val="160C437B"/>
    <w:rsid w:val="161033BE"/>
    <w:rsid w:val="16147F08"/>
    <w:rsid w:val="16160429"/>
    <w:rsid w:val="161C3234"/>
    <w:rsid w:val="162F0727"/>
    <w:rsid w:val="16302232"/>
    <w:rsid w:val="163562A4"/>
    <w:rsid w:val="163A584C"/>
    <w:rsid w:val="163F682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063C"/>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9180D"/>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55AED"/>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57E00"/>
    <w:rsid w:val="177653C5"/>
    <w:rsid w:val="17781A92"/>
    <w:rsid w:val="177C1B0E"/>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307D9"/>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1B5F65"/>
    <w:rsid w:val="181C1076"/>
    <w:rsid w:val="182267FD"/>
    <w:rsid w:val="18235A20"/>
    <w:rsid w:val="18235E85"/>
    <w:rsid w:val="18273157"/>
    <w:rsid w:val="18331DAD"/>
    <w:rsid w:val="18397C4D"/>
    <w:rsid w:val="183E4121"/>
    <w:rsid w:val="183F3DA9"/>
    <w:rsid w:val="184068C1"/>
    <w:rsid w:val="18420253"/>
    <w:rsid w:val="1848540C"/>
    <w:rsid w:val="184D7802"/>
    <w:rsid w:val="18524B4C"/>
    <w:rsid w:val="18533B98"/>
    <w:rsid w:val="185546D2"/>
    <w:rsid w:val="185A7BDE"/>
    <w:rsid w:val="18674D45"/>
    <w:rsid w:val="186B15D6"/>
    <w:rsid w:val="186C1DBE"/>
    <w:rsid w:val="186C5153"/>
    <w:rsid w:val="186E738D"/>
    <w:rsid w:val="186F36A8"/>
    <w:rsid w:val="18710E9B"/>
    <w:rsid w:val="187640ED"/>
    <w:rsid w:val="18786643"/>
    <w:rsid w:val="18804AA7"/>
    <w:rsid w:val="18850ACD"/>
    <w:rsid w:val="188C347D"/>
    <w:rsid w:val="188C4F53"/>
    <w:rsid w:val="189E4F59"/>
    <w:rsid w:val="18A059C8"/>
    <w:rsid w:val="18A16B9A"/>
    <w:rsid w:val="18A5427C"/>
    <w:rsid w:val="18A94FC3"/>
    <w:rsid w:val="18AB1905"/>
    <w:rsid w:val="18AC724D"/>
    <w:rsid w:val="18AF5199"/>
    <w:rsid w:val="18AF7C5B"/>
    <w:rsid w:val="18B417E1"/>
    <w:rsid w:val="18B61C67"/>
    <w:rsid w:val="18C0323C"/>
    <w:rsid w:val="18C9246D"/>
    <w:rsid w:val="18CC0BED"/>
    <w:rsid w:val="18CC589D"/>
    <w:rsid w:val="18CC75E7"/>
    <w:rsid w:val="18CF7D05"/>
    <w:rsid w:val="18D303E1"/>
    <w:rsid w:val="18D979C0"/>
    <w:rsid w:val="18DE1E44"/>
    <w:rsid w:val="18DE5861"/>
    <w:rsid w:val="18DF766E"/>
    <w:rsid w:val="18E67034"/>
    <w:rsid w:val="18E872D7"/>
    <w:rsid w:val="18E921AF"/>
    <w:rsid w:val="18EA68A3"/>
    <w:rsid w:val="18F02D64"/>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6666F"/>
    <w:rsid w:val="193774B0"/>
    <w:rsid w:val="193913AB"/>
    <w:rsid w:val="193C139A"/>
    <w:rsid w:val="19445068"/>
    <w:rsid w:val="194A1ACB"/>
    <w:rsid w:val="194C176F"/>
    <w:rsid w:val="19500DD6"/>
    <w:rsid w:val="19521210"/>
    <w:rsid w:val="195270D5"/>
    <w:rsid w:val="19537076"/>
    <w:rsid w:val="195621A4"/>
    <w:rsid w:val="19564B19"/>
    <w:rsid w:val="195D74B8"/>
    <w:rsid w:val="195E2D4F"/>
    <w:rsid w:val="195F336A"/>
    <w:rsid w:val="19614F51"/>
    <w:rsid w:val="19675935"/>
    <w:rsid w:val="196837EE"/>
    <w:rsid w:val="19684070"/>
    <w:rsid w:val="196A0432"/>
    <w:rsid w:val="196A361C"/>
    <w:rsid w:val="196B2258"/>
    <w:rsid w:val="196C7350"/>
    <w:rsid w:val="19720BF1"/>
    <w:rsid w:val="197557A0"/>
    <w:rsid w:val="19764535"/>
    <w:rsid w:val="198374F4"/>
    <w:rsid w:val="1989194D"/>
    <w:rsid w:val="19894C83"/>
    <w:rsid w:val="198C5D06"/>
    <w:rsid w:val="19A7296F"/>
    <w:rsid w:val="19A83029"/>
    <w:rsid w:val="19AC7D2F"/>
    <w:rsid w:val="19AF232D"/>
    <w:rsid w:val="19B02EB2"/>
    <w:rsid w:val="19B94DE5"/>
    <w:rsid w:val="19BB7983"/>
    <w:rsid w:val="19C84D8B"/>
    <w:rsid w:val="19CA4702"/>
    <w:rsid w:val="19D01D27"/>
    <w:rsid w:val="19D472FE"/>
    <w:rsid w:val="19D76F77"/>
    <w:rsid w:val="19DC3901"/>
    <w:rsid w:val="19DE56B0"/>
    <w:rsid w:val="19DE7440"/>
    <w:rsid w:val="19E45BB3"/>
    <w:rsid w:val="19ED386F"/>
    <w:rsid w:val="19F90091"/>
    <w:rsid w:val="19F91F18"/>
    <w:rsid w:val="19FF1298"/>
    <w:rsid w:val="1A017B9F"/>
    <w:rsid w:val="1A03072C"/>
    <w:rsid w:val="1A045B87"/>
    <w:rsid w:val="1A1F1382"/>
    <w:rsid w:val="1A203F61"/>
    <w:rsid w:val="1A210157"/>
    <w:rsid w:val="1A2163E9"/>
    <w:rsid w:val="1A2364A1"/>
    <w:rsid w:val="1A2C794C"/>
    <w:rsid w:val="1A365F00"/>
    <w:rsid w:val="1A402130"/>
    <w:rsid w:val="1A484A02"/>
    <w:rsid w:val="1A4D1CE1"/>
    <w:rsid w:val="1A4E78B6"/>
    <w:rsid w:val="1A4F3B08"/>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A54498"/>
    <w:rsid w:val="1AB02AE4"/>
    <w:rsid w:val="1AB359A1"/>
    <w:rsid w:val="1ABD31B9"/>
    <w:rsid w:val="1ABF3A95"/>
    <w:rsid w:val="1AC20F7A"/>
    <w:rsid w:val="1AC6063E"/>
    <w:rsid w:val="1AC91D4C"/>
    <w:rsid w:val="1ACE2A77"/>
    <w:rsid w:val="1ACE6E77"/>
    <w:rsid w:val="1AD03069"/>
    <w:rsid w:val="1AD378F3"/>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B2B52"/>
    <w:rsid w:val="1B1F30D9"/>
    <w:rsid w:val="1B223C37"/>
    <w:rsid w:val="1B2A7E36"/>
    <w:rsid w:val="1B2F42C3"/>
    <w:rsid w:val="1B315167"/>
    <w:rsid w:val="1B324397"/>
    <w:rsid w:val="1B3462E9"/>
    <w:rsid w:val="1B372EB9"/>
    <w:rsid w:val="1B39636C"/>
    <w:rsid w:val="1B3C488F"/>
    <w:rsid w:val="1B40005E"/>
    <w:rsid w:val="1B4268B4"/>
    <w:rsid w:val="1B427936"/>
    <w:rsid w:val="1B5D3106"/>
    <w:rsid w:val="1B606551"/>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BA1220"/>
    <w:rsid w:val="1BBC0C21"/>
    <w:rsid w:val="1BC85001"/>
    <w:rsid w:val="1BCA7505"/>
    <w:rsid w:val="1BCD659A"/>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24896"/>
    <w:rsid w:val="1C17562C"/>
    <w:rsid w:val="1C1869A6"/>
    <w:rsid w:val="1C191CF6"/>
    <w:rsid w:val="1C206F70"/>
    <w:rsid w:val="1C242C80"/>
    <w:rsid w:val="1C277F90"/>
    <w:rsid w:val="1C2954F1"/>
    <w:rsid w:val="1C33796F"/>
    <w:rsid w:val="1C341EE3"/>
    <w:rsid w:val="1C3E5B92"/>
    <w:rsid w:val="1C441419"/>
    <w:rsid w:val="1C4774DD"/>
    <w:rsid w:val="1C4A45C4"/>
    <w:rsid w:val="1C4B3310"/>
    <w:rsid w:val="1C561E66"/>
    <w:rsid w:val="1C5E3742"/>
    <w:rsid w:val="1C5F23B1"/>
    <w:rsid w:val="1C67631F"/>
    <w:rsid w:val="1C6B3493"/>
    <w:rsid w:val="1C6D07BF"/>
    <w:rsid w:val="1C6D4144"/>
    <w:rsid w:val="1C6F65D5"/>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A43C9"/>
    <w:rsid w:val="1CCD6D74"/>
    <w:rsid w:val="1CD363DF"/>
    <w:rsid w:val="1CD8702E"/>
    <w:rsid w:val="1CD97139"/>
    <w:rsid w:val="1CE13063"/>
    <w:rsid w:val="1CE2616E"/>
    <w:rsid w:val="1CE533B7"/>
    <w:rsid w:val="1CF15683"/>
    <w:rsid w:val="1CF333A5"/>
    <w:rsid w:val="1CF53F65"/>
    <w:rsid w:val="1CF702E1"/>
    <w:rsid w:val="1CFA57E6"/>
    <w:rsid w:val="1D023336"/>
    <w:rsid w:val="1D031DDA"/>
    <w:rsid w:val="1D0B731D"/>
    <w:rsid w:val="1D163452"/>
    <w:rsid w:val="1D1A6508"/>
    <w:rsid w:val="1D1D6A68"/>
    <w:rsid w:val="1D1F1D0C"/>
    <w:rsid w:val="1D2054C4"/>
    <w:rsid w:val="1D24658B"/>
    <w:rsid w:val="1D2E77E8"/>
    <w:rsid w:val="1D457CE9"/>
    <w:rsid w:val="1D4969F4"/>
    <w:rsid w:val="1D4A104F"/>
    <w:rsid w:val="1D4B2D98"/>
    <w:rsid w:val="1D4C117F"/>
    <w:rsid w:val="1D513E68"/>
    <w:rsid w:val="1D563E2F"/>
    <w:rsid w:val="1D5A17CD"/>
    <w:rsid w:val="1D5A3689"/>
    <w:rsid w:val="1D6033FE"/>
    <w:rsid w:val="1D64544F"/>
    <w:rsid w:val="1D684015"/>
    <w:rsid w:val="1D6B5AD7"/>
    <w:rsid w:val="1D6F79AF"/>
    <w:rsid w:val="1D7877C5"/>
    <w:rsid w:val="1D7C6E19"/>
    <w:rsid w:val="1D8F5B72"/>
    <w:rsid w:val="1D8F6826"/>
    <w:rsid w:val="1D8F6DA9"/>
    <w:rsid w:val="1D9705D9"/>
    <w:rsid w:val="1D9B69B7"/>
    <w:rsid w:val="1D9C5DA0"/>
    <w:rsid w:val="1D9C7126"/>
    <w:rsid w:val="1D9F462B"/>
    <w:rsid w:val="1DA1442D"/>
    <w:rsid w:val="1DA265B5"/>
    <w:rsid w:val="1DA348BC"/>
    <w:rsid w:val="1DB26ED0"/>
    <w:rsid w:val="1DB835A9"/>
    <w:rsid w:val="1DC254A8"/>
    <w:rsid w:val="1DC603E1"/>
    <w:rsid w:val="1DEC45ED"/>
    <w:rsid w:val="1DF2745E"/>
    <w:rsid w:val="1DF71982"/>
    <w:rsid w:val="1DF8498F"/>
    <w:rsid w:val="1E02615D"/>
    <w:rsid w:val="1E093D7D"/>
    <w:rsid w:val="1E133467"/>
    <w:rsid w:val="1E143B97"/>
    <w:rsid w:val="1E183872"/>
    <w:rsid w:val="1E1D7E95"/>
    <w:rsid w:val="1E201A27"/>
    <w:rsid w:val="1E224747"/>
    <w:rsid w:val="1E2B2F2B"/>
    <w:rsid w:val="1E3048AA"/>
    <w:rsid w:val="1E304B88"/>
    <w:rsid w:val="1E377B48"/>
    <w:rsid w:val="1E3E02E7"/>
    <w:rsid w:val="1E6703B7"/>
    <w:rsid w:val="1E680B85"/>
    <w:rsid w:val="1E6B2336"/>
    <w:rsid w:val="1E712925"/>
    <w:rsid w:val="1E7845CD"/>
    <w:rsid w:val="1E8028A0"/>
    <w:rsid w:val="1E8261B5"/>
    <w:rsid w:val="1E8B032D"/>
    <w:rsid w:val="1E8B7AD0"/>
    <w:rsid w:val="1E8E3E30"/>
    <w:rsid w:val="1E937874"/>
    <w:rsid w:val="1E96363A"/>
    <w:rsid w:val="1E9D2018"/>
    <w:rsid w:val="1E9D4737"/>
    <w:rsid w:val="1E9D55A8"/>
    <w:rsid w:val="1EA11D29"/>
    <w:rsid w:val="1EA13E87"/>
    <w:rsid w:val="1EA53D75"/>
    <w:rsid w:val="1EA73541"/>
    <w:rsid w:val="1EAE70F2"/>
    <w:rsid w:val="1EAF4E87"/>
    <w:rsid w:val="1EB10428"/>
    <w:rsid w:val="1EB50D64"/>
    <w:rsid w:val="1EB774F1"/>
    <w:rsid w:val="1EBA43DC"/>
    <w:rsid w:val="1EBF5044"/>
    <w:rsid w:val="1EC11B39"/>
    <w:rsid w:val="1EC80437"/>
    <w:rsid w:val="1EC9295D"/>
    <w:rsid w:val="1ED15DFD"/>
    <w:rsid w:val="1ED509C3"/>
    <w:rsid w:val="1ED509F1"/>
    <w:rsid w:val="1ED874EC"/>
    <w:rsid w:val="1ED94E25"/>
    <w:rsid w:val="1EDB6C5F"/>
    <w:rsid w:val="1EE05F17"/>
    <w:rsid w:val="1EE36B24"/>
    <w:rsid w:val="1EE4433F"/>
    <w:rsid w:val="1EE6740D"/>
    <w:rsid w:val="1EEC1621"/>
    <w:rsid w:val="1EED7A29"/>
    <w:rsid w:val="1F01649D"/>
    <w:rsid w:val="1F0D14F3"/>
    <w:rsid w:val="1F0E3B92"/>
    <w:rsid w:val="1F120D07"/>
    <w:rsid w:val="1F141EF2"/>
    <w:rsid w:val="1F280D38"/>
    <w:rsid w:val="1F2D226C"/>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F1DD1"/>
    <w:rsid w:val="1F7959F4"/>
    <w:rsid w:val="1F7A022D"/>
    <w:rsid w:val="1F7C19E4"/>
    <w:rsid w:val="1F8108B3"/>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873BC"/>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21BA3"/>
    <w:rsid w:val="201359DF"/>
    <w:rsid w:val="20140382"/>
    <w:rsid w:val="201C304F"/>
    <w:rsid w:val="201C690F"/>
    <w:rsid w:val="20210624"/>
    <w:rsid w:val="20263D53"/>
    <w:rsid w:val="20275ED1"/>
    <w:rsid w:val="203B1416"/>
    <w:rsid w:val="203C2005"/>
    <w:rsid w:val="20420995"/>
    <w:rsid w:val="20447B3E"/>
    <w:rsid w:val="204619A3"/>
    <w:rsid w:val="20463A2C"/>
    <w:rsid w:val="204D7AED"/>
    <w:rsid w:val="204E2A57"/>
    <w:rsid w:val="204F595B"/>
    <w:rsid w:val="20532924"/>
    <w:rsid w:val="205A627C"/>
    <w:rsid w:val="206301A7"/>
    <w:rsid w:val="20642E89"/>
    <w:rsid w:val="2067334B"/>
    <w:rsid w:val="206F7CD5"/>
    <w:rsid w:val="207778B9"/>
    <w:rsid w:val="207E34E5"/>
    <w:rsid w:val="20850EC1"/>
    <w:rsid w:val="20873702"/>
    <w:rsid w:val="20911227"/>
    <w:rsid w:val="20934FE0"/>
    <w:rsid w:val="209511C3"/>
    <w:rsid w:val="20960F93"/>
    <w:rsid w:val="209A17A4"/>
    <w:rsid w:val="209E715A"/>
    <w:rsid w:val="20A70ABE"/>
    <w:rsid w:val="20AC38F6"/>
    <w:rsid w:val="20B81E89"/>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170F5"/>
    <w:rsid w:val="21330562"/>
    <w:rsid w:val="21345CA0"/>
    <w:rsid w:val="21361B20"/>
    <w:rsid w:val="213D54AD"/>
    <w:rsid w:val="213F6AC2"/>
    <w:rsid w:val="214169BB"/>
    <w:rsid w:val="2144141D"/>
    <w:rsid w:val="214B1974"/>
    <w:rsid w:val="214F4863"/>
    <w:rsid w:val="21504A40"/>
    <w:rsid w:val="215E2E47"/>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5BDE"/>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ED6C66"/>
    <w:rsid w:val="21F54612"/>
    <w:rsid w:val="21FF71D8"/>
    <w:rsid w:val="22021B37"/>
    <w:rsid w:val="2208516B"/>
    <w:rsid w:val="2209399D"/>
    <w:rsid w:val="220B29C7"/>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73A76"/>
    <w:rsid w:val="225C1E49"/>
    <w:rsid w:val="22606C0B"/>
    <w:rsid w:val="22680B07"/>
    <w:rsid w:val="22681A0E"/>
    <w:rsid w:val="226E20BA"/>
    <w:rsid w:val="22713317"/>
    <w:rsid w:val="227637DF"/>
    <w:rsid w:val="227D6059"/>
    <w:rsid w:val="227F5037"/>
    <w:rsid w:val="228041D7"/>
    <w:rsid w:val="22871AF1"/>
    <w:rsid w:val="228A008B"/>
    <w:rsid w:val="228A2082"/>
    <w:rsid w:val="228D63FC"/>
    <w:rsid w:val="22914245"/>
    <w:rsid w:val="229A7E25"/>
    <w:rsid w:val="229D01C1"/>
    <w:rsid w:val="229F462B"/>
    <w:rsid w:val="22A72B65"/>
    <w:rsid w:val="22AA0362"/>
    <w:rsid w:val="22AA773F"/>
    <w:rsid w:val="22AC2870"/>
    <w:rsid w:val="22B059F5"/>
    <w:rsid w:val="22B06BDB"/>
    <w:rsid w:val="22B21CAB"/>
    <w:rsid w:val="22B63FB8"/>
    <w:rsid w:val="22BA2D5C"/>
    <w:rsid w:val="22BA6F2B"/>
    <w:rsid w:val="22BC7DF2"/>
    <w:rsid w:val="22BD19A6"/>
    <w:rsid w:val="22BD504B"/>
    <w:rsid w:val="22BF0452"/>
    <w:rsid w:val="22C9130D"/>
    <w:rsid w:val="22CA78A2"/>
    <w:rsid w:val="22D41540"/>
    <w:rsid w:val="22D61781"/>
    <w:rsid w:val="22D952D1"/>
    <w:rsid w:val="22E03374"/>
    <w:rsid w:val="22E30977"/>
    <w:rsid w:val="22E30F99"/>
    <w:rsid w:val="22E838BE"/>
    <w:rsid w:val="22E95A8D"/>
    <w:rsid w:val="22ED26FC"/>
    <w:rsid w:val="22EF5453"/>
    <w:rsid w:val="22F017B2"/>
    <w:rsid w:val="22F7088E"/>
    <w:rsid w:val="22F93F53"/>
    <w:rsid w:val="22F97E5B"/>
    <w:rsid w:val="22FA647A"/>
    <w:rsid w:val="22FB21DC"/>
    <w:rsid w:val="23003817"/>
    <w:rsid w:val="23042520"/>
    <w:rsid w:val="230B07F6"/>
    <w:rsid w:val="230E1B9C"/>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2D64"/>
    <w:rsid w:val="2341558C"/>
    <w:rsid w:val="23415924"/>
    <w:rsid w:val="23437735"/>
    <w:rsid w:val="23566DDF"/>
    <w:rsid w:val="23572E7E"/>
    <w:rsid w:val="23576BEC"/>
    <w:rsid w:val="2358620C"/>
    <w:rsid w:val="235924CA"/>
    <w:rsid w:val="23592D87"/>
    <w:rsid w:val="235F162F"/>
    <w:rsid w:val="23630D0D"/>
    <w:rsid w:val="23673863"/>
    <w:rsid w:val="236A053E"/>
    <w:rsid w:val="236D4F13"/>
    <w:rsid w:val="23752F81"/>
    <w:rsid w:val="23787408"/>
    <w:rsid w:val="237B7D6C"/>
    <w:rsid w:val="238015EC"/>
    <w:rsid w:val="23837B67"/>
    <w:rsid w:val="23857493"/>
    <w:rsid w:val="238755B6"/>
    <w:rsid w:val="23885214"/>
    <w:rsid w:val="238944BF"/>
    <w:rsid w:val="238B65DE"/>
    <w:rsid w:val="238D0169"/>
    <w:rsid w:val="2390760E"/>
    <w:rsid w:val="239130F2"/>
    <w:rsid w:val="23940E6E"/>
    <w:rsid w:val="239833E4"/>
    <w:rsid w:val="239B728F"/>
    <w:rsid w:val="239D405B"/>
    <w:rsid w:val="23A06FB8"/>
    <w:rsid w:val="23A51B7A"/>
    <w:rsid w:val="23AC4AA2"/>
    <w:rsid w:val="23AE6E9E"/>
    <w:rsid w:val="23B02460"/>
    <w:rsid w:val="23B94969"/>
    <w:rsid w:val="23BD6F6C"/>
    <w:rsid w:val="23BF30A4"/>
    <w:rsid w:val="23C62FD3"/>
    <w:rsid w:val="23C80F4A"/>
    <w:rsid w:val="23CA7445"/>
    <w:rsid w:val="23CE5D21"/>
    <w:rsid w:val="23D160BB"/>
    <w:rsid w:val="23D2612A"/>
    <w:rsid w:val="23D33566"/>
    <w:rsid w:val="23D53925"/>
    <w:rsid w:val="23D9762E"/>
    <w:rsid w:val="23DF2C6B"/>
    <w:rsid w:val="23E173A1"/>
    <w:rsid w:val="23E21E5D"/>
    <w:rsid w:val="23E3610D"/>
    <w:rsid w:val="23E52298"/>
    <w:rsid w:val="23E94462"/>
    <w:rsid w:val="23F06611"/>
    <w:rsid w:val="23FB3044"/>
    <w:rsid w:val="24090775"/>
    <w:rsid w:val="240A6080"/>
    <w:rsid w:val="240E5D2B"/>
    <w:rsid w:val="24137B5B"/>
    <w:rsid w:val="24176341"/>
    <w:rsid w:val="24194B93"/>
    <w:rsid w:val="241E1F2D"/>
    <w:rsid w:val="24211333"/>
    <w:rsid w:val="242461D7"/>
    <w:rsid w:val="24246A60"/>
    <w:rsid w:val="242502D3"/>
    <w:rsid w:val="24255B0A"/>
    <w:rsid w:val="242752F5"/>
    <w:rsid w:val="242778EB"/>
    <w:rsid w:val="242A43E1"/>
    <w:rsid w:val="242C04D9"/>
    <w:rsid w:val="242E2FF6"/>
    <w:rsid w:val="242E7ECB"/>
    <w:rsid w:val="243E6A2B"/>
    <w:rsid w:val="24401E98"/>
    <w:rsid w:val="24412E5C"/>
    <w:rsid w:val="2446648F"/>
    <w:rsid w:val="24476E69"/>
    <w:rsid w:val="244F2484"/>
    <w:rsid w:val="24506BD9"/>
    <w:rsid w:val="24507298"/>
    <w:rsid w:val="24550926"/>
    <w:rsid w:val="24574CEB"/>
    <w:rsid w:val="245D41D2"/>
    <w:rsid w:val="24633955"/>
    <w:rsid w:val="24667266"/>
    <w:rsid w:val="246E676E"/>
    <w:rsid w:val="24731A96"/>
    <w:rsid w:val="247A5C3A"/>
    <w:rsid w:val="247C5EE2"/>
    <w:rsid w:val="247C7B9E"/>
    <w:rsid w:val="247F6CC6"/>
    <w:rsid w:val="24837A35"/>
    <w:rsid w:val="248654B3"/>
    <w:rsid w:val="248907B2"/>
    <w:rsid w:val="249422CA"/>
    <w:rsid w:val="24962FEE"/>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320D"/>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35C42"/>
    <w:rsid w:val="25395126"/>
    <w:rsid w:val="254520AA"/>
    <w:rsid w:val="25462832"/>
    <w:rsid w:val="25467DBB"/>
    <w:rsid w:val="25473E3C"/>
    <w:rsid w:val="25485BB9"/>
    <w:rsid w:val="254C4068"/>
    <w:rsid w:val="254E34FC"/>
    <w:rsid w:val="25515E07"/>
    <w:rsid w:val="25584ADE"/>
    <w:rsid w:val="255A3DDD"/>
    <w:rsid w:val="255E0BEA"/>
    <w:rsid w:val="25627A70"/>
    <w:rsid w:val="256343AC"/>
    <w:rsid w:val="25645072"/>
    <w:rsid w:val="25653B8B"/>
    <w:rsid w:val="256777BF"/>
    <w:rsid w:val="2569146F"/>
    <w:rsid w:val="25771B32"/>
    <w:rsid w:val="257C1A72"/>
    <w:rsid w:val="257C2374"/>
    <w:rsid w:val="257C3DD9"/>
    <w:rsid w:val="257C76CA"/>
    <w:rsid w:val="257F18B5"/>
    <w:rsid w:val="25805FF5"/>
    <w:rsid w:val="25880457"/>
    <w:rsid w:val="258A3283"/>
    <w:rsid w:val="258E66DC"/>
    <w:rsid w:val="258F15BB"/>
    <w:rsid w:val="259231BD"/>
    <w:rsid w:val="259B0F56"/>
    <w:rsid w:val="25A06A35"/>
    <w:rsid w:val="25A77DD4"/>
    <w:rsid w:val="25AD3F3E"/>
    <w:rsid w:val="25AE0C1E"/>
    <w:rsid w:val="25B36313"/>
    <w:rsid w:val="25BB6C64"/>
    <w:rsid w:val="25BC3040"/>
    <w:rsid w:val="25C87522"/>
    <w:rsid w:val="25C97301"/>
    <w:rsid w:val="25CC4C1C"/>
    <w:rsid w:val="25CD7961"/>
    <w:rsid w:val="25D33C43"/>
    <w:rsid w:val="25D64403"/>
    <w:rsid w:val="25DC0E91"/>
    <w:rsid w:val="25E32F35"/>
    <w:rsid w:val="25EB286A"/>
    <w:rsid w:val="25EB7CD4"/>
    <w:rsid w:val="25F04B7D"/>
    <w:rsid w:val="25F51596"/>
    <w:rsid w:val="25F67042"/>
    <w:rsid w:val="25FC3FDE"/>
    <w:rsid w:val="260054CC"/>
    <w:rsid w:val="26051DD8"/>
    <w:rsid w:val="26071C55"/>
    <w:rsid w:val="260A55DA"/>
    <w:rsid w:val="260B255C"/>
    <w:rsid w:val="2611495B"/>
    <w:rsid w:val="26137703"/>
    <w:rsid w:val="26174A8B"/>
    <w:rsid w:val="2618762A"/>
    <w:rsid w:val="26217848"/>
    <w:rsid w:val="2625247E"/>
    <w:rsid w:val="262E20E8"/>
    <w:rsid w:val="262E34C1"/>
    <w:rsid w:val="263A2828"/>
    <w:rsid w:val="263E0775"/>
    <w:rsid w:val="2640682F"/>
    <w:rsid w:val="26472F6E"/>
    <w:rsid w:val="264929BD"/>
    <w:rsid w:val="264F2FA3"/>
    <w:rsid w:val="26510DB8"/>
    <w:rsid w:val="26531A21"/>
    <w:rsid w:val="265759DA"/>
    <w:rsid w:val="265A4DDA"/>
    <w:rsid w:val="266239C5"/>
    <w:rsid w:val="26626905"/>
    <w:rsid w:val="26667EB2"/>
    <w:rsid w:val="2667567A"/>
    <w:rsid w:val="266B1FB8"/>
    <w:rsid w:val="26764466"/>
    <w:rsid w:val="267B7FD0"/>
    <w:rsid w:val="267E518B"/>
    <w:rsid w:val="26850942"/>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59F2"/>
    <w:rsid w:val="26BD1ECD"/>
    <w:rsid w:val="26BD2331"/>
    <w:rsid w:val="26C36DE5"/>
    <w:rsid w:val="26C9404D"/>
    <w:rsid w:val="26CD53A8"/>
    <w:rsid w:val="26D2031D"/>
    <w:rsid w:val="26D323BB"/>
    <w:rsid w:val="26D45590"/>
    <w:rsid w:val="26DB67F4"/>
    <w:rsid w:val="26E53AE2"/>
    <w:rsid w:val="26E72CF4"/>
    <w:rsid w:val="26EB2849"/>
    <w:rsid w:val="26EB45E1"/>
    <w:rsid w:val="26EE1A15"/>
    <w:rsid w:val="26F017B3"/>
    <w:rsid w:val="26F40E3F"/>
    <w:rsid w:val="26F40EBD"/>
    <w:rsid w:val="26F85687"/>
    <w:rsid w:val="26F973AB"/>
    <w:rsid w:val="26FA2DE3"/>
    <w:rsid w:val="26FF74CD"/>
    <w:rsid w:val="27003A4A"/>
    <w:rsid w:val="270404E8"/>
    <w:rsid w:val="27061C48"/>
    <w:rsid w:val="27125B0D"/>
    <w:rsid w:val="27130E1A"/>
    <w:rsid w:val="271A3CFE"/>
    <w:rsid w:val="27222699"/>
    <w:rsid w:val="27240467"/>
    <w:rsid w:val="27262E16"/>
    <w:rsid w:val="272A3F42"/>
    <w:rsid w:val="273216D6"/>
    <w:rsid w:val="273666A6"/>
    <w:rsid w:val="273839B0"/>
    <w:rsid w:val="273D1CBA"/>
    <w:rsid w:val="274431EC"/>
    <w:rsid w:val="27462901"/>
    <w:rsid w:val="274730E2"/>
    <w:rsid w:val="2749419F"/>
    <w:rsid w:val="274A7B1A"/>
    <w:rsid w:val="275439E1"/>
    <w:rsid w:val="275638B7"/>
    <w:rsid w:val="275658F1"/>
    <w:rsid w:val="276142AB"/>
    <w:rsid w:val="27621C7A"/>
    <w:rsid w:val="27625732"/>
    <w:rsid w:val="276320D7"/>
    <w:rsid w:val="276F3D3A"/>
    <w:rsid w:val="27711B2C"/>
    <w:rsid w:val="27744B4E"/>
    <w:rsid w:val="2778352E"/>
    <w:rsid w:val="277A5E6A"/>
    <w:rsid w:val="278A6416"/>
    <w:rsid w:val="2793478A"/>
    <w:rsid w:val="279408D2"/>
    <w:rsid w:val="279A2ED3"/>
    <w:rsid w:val="27A23025"/>
    <w:rsid w:val="27A46397"/>
    <w:rsid w:val="27B02558"/>
    <w:rsid w:val="27B027C6"/>
    <w:rsid w:val="27B03EC1"/>
    <w:rsid w:val="27B41E22"/>
    <w:rsid w:val="27B91021"/>
    <w:rsid w:val="27BA3133"/>
    <w:rsid w:val="27C06D17"/>
    <w:rsid w:val="27C66099"/>
    <w:rsid w:val="27CA7CDA"/>
    <w:rsid w:val="27DF1D24"/>
    <w:rsid w:val="27E30D7E"/>
    <w:rsid w:val="27E43C95"/>
    <w:rsid w:val="27F20EFC"/>
    <w:rsid w:val="27F75178"/>
    <w:rsid w:val="27F97709"/>
    <w:rsid w:val="27FB11A8"/>
    <w:rsid w:val="27FE4240"/>
    <w:rsid w:val="27FF2D7D"/>
    <w:rsid w:val="280008FF"/>
    <w:rsid w:val="28050D91"/>
    <w:rsid w:val="280A73A7"/>
    <w:rsid w:val="280B0292"/>
    <w:rsid w:val="281035C6"/>
    <w:rsid w:val="28140E2A"/>
    <w:rsid w:val="2824417F"/>
    <w:rsid w:val="28244A33"/>
    <w:rsid w:val="28255041"/>
    <w:rsid w:val="282B1213"/>
    <w:rsid w:val="283832F0"/>
    <w:rsid w:val="283A1E3E"/>
    <w:rsid w:val="283F0B9A"/>
    <w:rsid w:val="284543A1"/>
    <w:rsid w:val="285465E8"/>
    <w:rsid w:val="28553E1D"/>
    <w:rsid w:val="2859475D"/>
    <w:rsid w:val="285E5BF7"/>
    <w:rsid w:val="2866568E"/>
    <w:rsid w:val="28670377"/>
    <w:rsid w:val="28693318"/>
    <w:rsid w:val="286B3B61"/>
    <w:rsid w:val="286C6B63"/>
    <w:rsid w:val="286D43F4"/>
    <w:rsid w:val="286F5A89"/>
    <w:rsid w:val="28754C0A"/>
    <w:rsid w:val="28765DD5"/>
    <w:rsid w:val="287676EC"/>
    <w:rsid w:val="2879737F"/>
    <w:rsid w:val="288104BE"/>
    <w:rsid w:val="28821314"/>
    <w:rsid w:val="288551F6"/>
    <w:rsid w:val="28892907"/>
    <w:rsid w:val="288C2E20"/>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07916"/>
    <w:rsid w:val="290517ED"/>
    <w:rsid w:val="290753B9"/>
    <w:rsid w:val="290870F3"/>
    <w:rsid w:val="291415DC"/>
    <w:rsid w:val="291712DF"/>
    <w:rsid w:val="29192BE8"/>
    <w:rsid w:val="291A0B21"/>
    <w:rsid w:val="291C432F"/>
    <w:rsid w:val="291D21EF"/>
    <w:rsid w:val="291F738B"/>
    <w:rsid w:val="2926107A"/>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63A48"/>
    <w:rsid w:val="29572948"/>
    <w:rsid w:val="29621FF4"/>
    <w:rsid w:val="296865F6"/>
    <w:rsid w:val="296B20A7"/>
    <w:rsid w:val="297D1A8B"/>
    <w:rsid w:val="29981CF5"/>
    <w:rsid w:val="299C6B98"/>
    <w:rsid w:val="29A4634A"/>
    <w:rsid w:val="29A84DD1"/>
    <w:rsid w:val="29A95FC5"/>
    <w:rsid w:val="29AA2390"/>
    <w:rsid w:val="29AF0E04"/>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DE3D0C"/>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1D2728"/>
    <w:rsid w:val="2A216713"/>
    <w:rsid w:val="2A220953"/>
    <w:rsid w:val="2A222BC6"/>
    <w:rsid w:val="2A26591A"/>
    <w:rsid w:val="2A2F350E"/>
    <w:rsid w:val="2A374404"/>
    <w:rsid w:val="2A3B063B"/>
    <w:rsid w:val="2A3E15CC"/>
    <w:rsid w:val="2A4141AD"/>
    <w:rsid w:val="2A43063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A022E"/>
    <w:rsid w:val="2A7B6C4A"/>
    <w:rsid w:val="2A7D34ED"/>
    <w:rsid w:val="2A8A27A6"/>
    <w:rsid w:val="2A8B1FCC"/>
    <w:rsid w:val="2A9303DF"/>
    <w:rsid w:val="2A9A66D4"/>
    <w:rsid w:val="2A9C6AA2"/>
    <w:rsid w:val="2AA1007B"/>
    <w:rsid w:val="2AA12DD3"/>
    <w:rsid w:val="2AAA29AB"/>
    <w:rsid w:val="2AAA4B39"/>
    <w:rsid w:val="2AAB1744"/>
    <w:rsid w:val="2AAC36BD"/>
    <w:rsid w:val="2AB04937"/>
    <w:rsid w:val="2AB1542B"/>
    <w:rsid w:val="2AB86677"/>
    <w:rsid w:val="2ABA266F"/>
    <w:rsid w:val="2ABC2E55"/>
    <w:rsid w:val="2AC90132"/>
    <w:rsid w:val="2ACC70F1"/>
    <w:rsid w:val="2ACF5AEC"/>
    <w:rsid w:val="2AD62AB0"/>
    <w:rsid w:val="2ADC1447"/>
    <w:rsid w:val="2ADE1583"/>
    <w:rsid w:val="2AE70523"/>
    <w:rsid w:val="2AF12CDF"/>
    <w:rsid w:val="2AF27DCB"/>
    <w:rsid w:val="2AF3157A"/>
    <w:rsid w:val="2AF43D09"/>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5D5A9B"/>
    <w:rsid w:val="2B611B55"/>
    <w:rsid w:val="2B662258"/>
    <w:rsid w:val="2B6640B7"/>
    <w:rsid w:val="2B685EFF"/>
    <w:rsid w:val="2B686C09"/>
    <w:rsid w:val="2B6F254A"/>
    <w:rsid w:val="2B795BD8"/>
    <w:rsid w:val="2B8311DA"/>
    <w:rsid w:val="2B8759DF"/>
    <w:rsid w:val="2B8B34AB"/>
    <w:rsid w:val="2B914C5E"/>
    <w:rsid w:val="2B942827"/>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A1A1F"/>
    <w:rsid w:val="2BDC02CD"/>
    <w:rsid w:val="2BDF4442"/>
    <w:rsid w:val="2BE11436"/>
    <w:rsid w:val="2BE64A3E"/>
    <w:rsid w:val="2BEC4F7F"/>
    <w:rsid w:val="2BF00C4E"/>
    <w:rsid w:val="2BF01DD3"/>
    <w:rsid w:val="2BF51B27"/>
    <w:rsid w:val="2BF52156"/>
    <w:rsid w:val="2C005788"/>
    <w:rsid w:val="2C11705A"/>
    <w:rsid w:val="2C120E4B"/>
    <w:rsid w:val="2C1216FD"/>
    <w:rsid w:val="2C132087"/>
    <w:rsid w:val="2C1A4267"/>
    <w:rsid w:val="2C1B305B"/>
    <w:rsid w:val="2C1D636E"/>
    <w:rsid w:val="2C1F2C4F"/>
    <w:rsid w:val="2C1F7DED"/>
    <w:rsid w:val="2C2062AE"/>
    <w:rsid w:val="2C212418"/>
    <w:rsid w:val="2C234135"/>
    <w:rsid w:val="2C23745C"/>
    <w:rsid w:val="2C253658"/>
    <w:rsid w:val="2C274174"/>
    <w:rsid w:val="2C2E5FE2"/>
    <w:rsid w:val="2C2F1705"/>
    <w:rsid w:val="2C31232B"/>
    <w:rsid w:val="2C3147DC"/>
    <w:rsid w:val="2C395B9E"/>
    <w:rsid w:val="2C3B4053"/>
    <w:rsid w:val="2C416890"/>
    <w:rsid w:val="2C423A35"/>
    <w:rsid w:val="2C4725E8"/>
    <w:rsid w:val="2C4D767D"/>
    <w:rsid w:val="2C5514C6"/>
    <w:rsid w:val="2C5B6D3D"/>
    <w:rsid w:val="2C5C2032"/>
    <w:rsid w:val="2C5E21B4"/>
    <w:rsid w:val="2C5F0C97"/>
    <w:rsid w:val="2C5F550C"/>
    <w:rsid w:val="2C650063"/>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55368"/>
    <w:rsid w:val="2CC9742A"/>
    <w:rsid w:val="2CCB3003"/>
    <w:rsid w:val="2CD17849"/>
    <w:rsid w:val="2CD47078"/>
    <w:rsid w:val="2CDA4FDA"/>
    <w:rsid w:val="2CDC7091"/>
    <w:rsid w:val="2CDE585C"/>
    <w:rsid w:val="2CE128DC"/>
    <w:rsid w:val="2CE16D71"/>
    <w:rsid w:val="2CE27F26"/>
    <w:rsid w:val="2CED6828"/>
    <w:rsid w:val="2CF4201A"/>
    <w:rsid w:val="2CF8269C"/>
    <w:rsid w:val="2CFD5C64"/>
    <w:rsid w:val="2D0128E8"/>
    <w:rsid w:val="2D0450C7"/>
    <w:rsid w:val="2D0A2211"/>
    <w:rsid w:val="2D0C5A2F"/>
    <w:rsid w:val="2D0E231B"/>
    <w:rsid w:val="2D1321A9"/>
    <w:rsid w:val="2D145154"/>
    <w:rsid w:val="2D1A1A6B"/>
    <w:rsid w:val="2D1A4915"/>
    <w:rsid w:val="2D1C670F"/>
    <w:rsid w:val="2D210212"/>
    <w:rsid w:val="2D260121"/>
    <w:rsid w:val="2D265D01"/>
    <w:rsid w:val="2D306B85"/>
    <w:rsid w:val="2D313196"/>
    <w:rsid w:val="2D323D75"/>
    <w:rsid w:val="2D372553"/>
    <w:rsid w:val="2D3F06B2"/>
    <w:rsid w:val="2D400A9F"/>
    <w:rsid w:val="2D540857"/>
    <w:rsid w:val="2D590555"/>
    <w:rsid w:val="2D726428"/>
    <w:rsid w:val="2D770975"/>
    <w:rsid w:val="2D7A06F1"/>
    <w:rsid w:val="2D7E443C"/>
    <w:rsid w:val="2D8151A4"/>
    <w:rsid w:val="2DA02E9C"/>
    <w:rsid w:val="2DAC4521"/>
    <w:rsid w:val="2DB55974"/>
    <w:rsid w:val="2DBB1852"/>
    <w:rsid w:val="2DBF0C3E"/>
    <w:rsid w:val="2DBF1601"/>
    <w:rsid w:val="2DBF44A4"/>
    <w:rsid w:val="2DBF4C3A"/>
    <w:rsid w:val="2DC464AC"/>
    <w:rsid w:val="2DD06A7C"/>
    <w:rsid w:val="2DD06AF3"/>
    <w:rsid w:val="2DDD1D4C"/>
    <w:rsid w:val="2DE0754F"/>
    <w:rsid w:val="2DE10EB0"/>
    <w:rsid w:val="2DE66249"/>
    <w:rsid w:val="2DEA21A7"/>
    <w:rsid w:val="2DF04CFF"/>
    <w:rsid w:val="2DF6091F"/>
    <w:rsid w:val="2DF77C3F"/>
    <w:rsid w:val="2DF80479"/>
    <w:rsid w:val="2DFA6574"/>
    <w:rsid w:val="2DFB6F69"/>
    <w:rsid w:val="2E001622"/>
    <w:rsid w:val="2E0062BD"/>
    <w:rsid w:val="2E040A80"/>
    <w:rsid w:val="2E095C19"/>
    <w:rsid w:val="2E0B749A"/>
    <w:rsid w:val="2E0F3A78"/>
    <w:rsid w:val="2E1530A6"/>
    <w:rsid w:val="2E160B5E"/>
    <w:rsid w:val="2E172AB2"/>
    <w:rsid w:val="2E1859B1"/>
    <w:rsid w:val="2E190FE7"/>
    <w:rsid w:val="2E195433"/>
    <w:rsid w:val="2E2630D7"/>
    <w:rsid w:val="2E2806DD"/>
    <w:rsid w:val="2E2A4425"/>
    <w:rsid w:val="2E2F3046"/>
    <w:rsid w:val="2E302808"/>
    <w:rsid w:val="2E33394E"/>
    <w:rsid w:val="2E3A3030"/>
    <w:rsid w:val="2E3C084B"/>
    <w:rsid w:val="2E415BED"/>
    <w:rsid w:val="2E46069F"/>
    <w:rsid w:val="2E4B21B3"/>
    <w:rsid w:val="2E53788E"/>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D5F30"/>
    <w:rsid w:val="2E8E24C6"/>
    <w:rsid w:val="2E8F09A4"/>
    <w:rsid w:val="2E914A07"/>
    <w:rsid w:val="2E993370"/>
    <w:rsid w:val="2E9A086A"/>
    <w:rsid w:val="2E9A69ED"/>
    <w:rsid w:val="2E9B22A9"/>
    <w:rsid w:val="2EA049A8"/>
    <w:rsid w:val="2EA26ABE"/>
    <w:rsid w:val="2EA72F10"/>
    <w:rsid w:val="2EA74B75"/>
    <w:rsid w:val="2EAC549E"/>
    <w:rsid w:val="2EB50CBA"/>
    <w:rsid w:val="2EB61295"/>
    <w:rsid w:val="2EB941A6"/>
    <w:rsid w:val="2EC414ED"/>
    <w:rsid w:val="2EC71A13"/>
    <w:rsid w:val="2EC722DC"/>
    <w:rsid w:val="2EC90B52"/>
    <w:rsid w:val="2EC9437A"/>
    <w:rsid w:val="2EDC714E"/>
    <w:rsid w:val="2EDD34FD"/>
    <w:rsid w:val="2EEA307E"/>
    <w:rsid w:val="2EEF6737"/>
    <w:rsid w:val="2EF06BB9"/>
    <w:rsid w:val="2EF171CF"/>
    <w:rsid w:val="2EF276DC"/>
    <w:rsid w:val="2EF53C20"/>
    <w:rsid w:val="2EF9215C"/>
    <w:rsid w:val="2EFC5DDD"/>
    <w:rsid w:val="2F002CCF"/>
    <w:rsid w:val="2F0160A3"/>
    <w:rsid w:val="2F0B41AC"/>
    <w:rsid w:val="2F18561C"/>
    <w:rsid w:val="2F1A491A"/>
    <w:rsid w:val="2F1C3DF5"/>
    <w:rsid w:val="2F24415F"/>
    <w:rsid w:val="2F284812"/>
    <w:rsid w:val="2F2960CC"/>
    <w:rsid w:val="2F2F3D52"/>
    <w:rsid w:val="2F3B7B8B"/>
    <w:rsid w:val="2F3D481A"/>
    <w:rsid w:val="2F407763"/>
    <w:rsid w:val="2F417C99"/>
    <w:rsid w:val="2F44254B"/>
    <w:rsid w:val="2F4530B9"/>
    <w:rsid w:val="2F4B7821"/>
    <w:rsid w:val="2F4D774F"/>
    <w:rsid w:val="2F526911"/>
    <w:rsid w:val="2F570620"/>
    <w:rsid w:val="2F5741FD"/>
    <w:rsid w:val="2F57587A"/>
    <w:rsid w:val="2F59227E"/>
    <w:rsid w:val="2F5E1A24"/>
    <w:rsid w:val="2F607227"/>
    <w:rsid w:val="2F615954"/>
    <w:rsid w:val="2F6324D7"/>
    <w:rsid w:val="2F712CF7"/>
    <w:rsid w:val="2F726B1A"/>
    <w:rsid w:val="2F727813"/>
    <w:rsid w:val="2F7B54EA"/>
    <w:rsid w:val="2F805714"/>
    <w:rsid w:val="2F811998"/>
    <w:rsid w:val="2F8166C8"/>
    <w:rsid w:val="2F8640C4"/>
    <w:rsid w:val="2F8E5F5C"/>
    <w:rsid w:val="2F921FAC"/>
    <w:rsid w:val="2F972B68"/>
    <w:rsid w:val="2F9874EB"/>
    <w:rsid w:val="2F9F502C"/>
    <w:rsid w:val="2FA21231"/>
    <w:rsid w:val="2FAD4759"/>
    <w:rsid w:val="2FAD5866"/>
    <w:rsid w:val="2FAE1EFC"/>
    <w:rsid w:val="2FAF21C8"/>
    <w:rsid w:val="2FB4059E"/>
    <w:rsid w:val="2FB46FC7"/>
    <w:rsid w:val="2FB91323"/>
    <w:rsid w:val="2FC6643E"/>
    <w:rsid w:val="2FCA0967"/>
    <w:rsid w:val="2FCE6A6F"/>
    <w:rsid w:val="2FD6133F"/>
    <w:rsid w:val="2FD7115C"/>
    <w:rsid w:val="2FD84674"/>
    <w:rsid w:val="2FDB17E1"/>
    <w:rsid w:val="2FE20568"/>
    <w:rsid w:val="2FE37171"/>
    <w:rsid w:val="2FE55FE0"/>
    <w:rsid w:val="2FF117AD"/>
    <w:rsid w:val="2FF17999"/>
    <w:rsid w:val="2FF335AC"/>
    <w:rsid w:val="2FF40BAE"/>
    <w:rsid w:val="2FF95633"/>
    <w:rsid w:val="2FFD391C"/>
    <w:rsid w:val="30010F70"/>
    <w:rsid w:val="300D20E3"/>
    <w:rsid w:val="300F7F13"/>
    <w:rsid w:val="30146B19"/>
    <w:rsid w:val="30151A88"/>
    <w:rsid w:val="301C0A49"/>
    <w:rsid w:val="301E3C00"/>
    <w:rsid w:val="302757BF"/>
    <w:rsid w:val="302C6D8E"/>
    <w:rsid w:val="302E1CAD"/>
    <w:rsid w:val="302F0C7E"/>
    <w:rsid w:val="30354430"/>
    <w:rsid w:val="303654A5"/>
    <w:rsid w:val="303F616B"/>
    <w:rsid w:val="3042736A"/>
    <w:rsid w:val="30435127"/>
    <w:rsid w:val="3045713F"/>
    <w:rsid w:val="30486EA7"/>
    <w:rsid w:val="30500A5C"/>
    <w:rsid w:val="305447A9"/>
    <w:rsid w:val="305F558E"/>
    <w:rsid w:val="306B4848"/>
    <w:rsid w:val="30752E77"/>
    <w:rsid w:val="307D7D09"/>
    <w:rsid w:val="308018A6"/>
    <w:rsid w:val="30804E19"/>
    <w:rsid w:val="3090288F"/>
    <w:rsid w:val="309558B3"/>
    <w:rsid w:val="309B0CFB"/>
    <w:rsid w:val="309B2EEC"/>
    <w:rsid w:val="309E4272"/>
    <w:rsid w:val="30AE56DC"/>
    <w:rsid w:val="30B7307E"/>
    <w:rsid w:val="30BB5407"/>
    <w:rsid w:val="30BF034E"/>
    <w:rsid w:val="30C21A0E"/>
    <w:rsid w:val="30C65287"/>
    <w:rsid w:val="30C83BAA"/>
    <w:rsid w:val="30DC45E8"/>
    <w:rsid w:val="30DD6027"/>
    <w:rsid w:val="30DE16AB"/>
    <w:rsid w:val="30DE7DEF"/>
    <w:rsid w:val="30E1221A"/>
    <w:rsid w:val="30E36586"/>
    <w:rsid w:val="30E734EF"/>
    <w:rsid w:val="30F24AB3"/>
    <w:rsid w:val="30F44A95"/>
    <w:rsid w:val="30F77A98"/>
    <w:rsid w:val="30FA21D8"/>
    <w:rsid w:val="30FC2A23"/>
    <w:rsid w:val="310B18AF"/>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04083"/>
    <w:rsid w:val="31E302B9"/>
    <w:rsid w:val="31E83A8A"/>
    <w:rsid w:val="31F20023"/>
    <w:rsid w:val="31F31FF7"/>
    <w:rsid w:val="31F52FE4"/>
    <w:rsid w:val="31F536F7"/>
    <w:rsid w:val="31FA7AEE"/>
    <w:rsid w:val="31FB60C5"/>
    <w:rsid w:val="32067C9F"/>
    <w:rsid w:val="3209100C"/>
    <w:rsid w:val="32132BEF"/>
    <w:rsid w:val="321E250B"/>
    <w:rsid w:val="32226597"/>
    <w:rsid w:val="322A5516"/>
    <w:rsid w:val="322B6C88"/>
    <w:rsid w:val="322C6DC4"/>
    <w:rsid w:val="323326D0"/>
    <w:rsid w:val="32341397"/>
    <w:rsid w:val="3238698E"/>
    <w:rsid w:val="323C17A1"/>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83976"/>
    <w:rsid w:val="32694229"/>
    <w:rsid w:val="326A18B1"/>
    <w:rsid w:val="326A4050"/>
    <w:rsid w:val="326B0CC8"/>
    <w:rsid w:val="326B7BBB"/>
    <w:rsid w:val="3272101B"/>
    <w:rsid w:val="32722131"/>
    <w:rsid w:val="327A3DD6"/>
    <w:rsid w:val="327E6AD8"/>
    <w:rsid w:val="32864FED"/>
    <w:rsid w:val="32876BEC"/>
    <w:rsid w:val="32926F1E"/>
    <w:rsid w:val="32946A84"/>
    <w:rsid w:val="3295684A"/>
    <w:rsid w:val="329747D6"/>
    <w:rsid w:val="329B3044"/>
    <w:rsid w:val="329C5C14"/>
    <w:rsid w:val="32AC6196"/>
    <w:rsid w:val="32AD727A"/>
    <w:rsid w:val="32AF5A06"/>
    <w:rsid w:val="32B22C9D"/>
    <w:rsid w:val="32BA631C"/>
    <w:rsid w:val="32BC6631"/>
    <w:rsid w:val="32C05B65"/>
    <w:rsid w:val="32C4034C"/>
    <w:rsid w:val="32C6418D"/>
    <w:rsid w:val="32C91003"/>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1F2E53"/>
    <w:rsid w:val="33222F7E"/>
    <w:rsid w:val="333A0536"/>
    <w:rsid w:val="333B75D0"/>
    <w:rsid w:val="333E0FE1"/>
    <w:rsid w:val="333F4C47"/>
    <w:rsid w:val="333F6941"/>
    <w:rsid w:val="334D7767"/>
    <w:rsid w:val="3355705E"/>
    <w:rsid w:val="33610DDA"/>
    <w:rsid w:val="3362171F"/>
    <w:rsid w:val="33637BDB"/>
    <w:rsid w:val="3366319E"/>
    <w:rsid w:val="336A11D9"/>
    <w:rsid w:val="336C2B69"/>
    <w:rsid w:val="336F5120"/>
    <w:rsid w:val="337009B5"/>
    <w:rsid w:val="337333AD"/>
    <w:rsid w:val="33767D1F"/>
    <w:rsid w:val="337D6587"/>
    <w:rsid w:val="337F446B"/>
    <w:rsid w:val="338A5DF3"/>
    <w:rsid w:val="338D4CD1"/>
    <w:rsid w:val="338E29B0"/>
    <w:rsid w:val="338F74B8"/>
    <w:rsid w:val="3390342D"/>
    <w:rsid w:val="33907648"/>
    <w:rsid w:val="33924A39"/>
    <w:rsid w:val="3393072B"/>
    <w:rsid w:val="3397281E"/>
    <w:rsid w:val="339902E6"/>
    <w:rsid w:val="339D35FC"/>
    <w:rsid w:val="33A156DE"/>
    <w:rsid w:val="33B52233"/>
    <w:rsid w:val="33B70359"/>
    <w:rsid w:val="33BA1B32"/>
    <w:rsid w:val="33BF7141"/>
    <w:rsid w:val="33C40446"/>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3928AD"/>
    <w:rsid w:val="34463967"/>
    <w:rsid w:val="344C08D2"/>
    <w:rsid w:val="345507E9"/>
    <w:rsid w:val="345543D1"/>
    <w:rsid w:val="34564E8B"/>
    <w:rsid w:val="345A1F55"/>
    <w:rsid w:val="345A7367"/>
    <w:rsid w:val="345C21D4"/>
    <w:rsid w:val="345D2CD0"/>
    <w:rsid w:val="345D4BBF"/>
    <w:rsid w:val="34657CEE"/>
    <w:rsid w:val="346C0AEA"/>
    <w:rsid w:val="3473748E"/>
    <w:rsid w:val="347B781E"/>
    <w:rsid w:val="347F540F"/>
    <w:rsid w:val="348630C6"/>
    <w:rsid w:val="34863322"/>
    <w:rsid w:val="348760A1"/>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20C34"/>
    <w:rsid w:val="34D47C8A"/>
    <w:rsid w:val="34D874E5"/>
    <w:rsid w:val="34DB0CAC"/>
    <w:rsid w:val="34DD3DF9"/>
    <w:rsid w:val="34E446D8"/>
    <w:rsid w:val="34E972FC"/>
    <w:rsid w:val="34F83EF3"/>
    <w:rsid w:val="34F953E0"/>
    <w:rsid w:val="34FF2166"/>
    <w:rsid w:val="3503286C"/>
    <w:rsid w:val="350A773D"/>
    <w:rsid w:val="350B69C5"/>
    <w:rsid w:val="350F2D16"/>
    <w:rsid w:val="351007B9"/>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2315"/>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7A7560"/>
    <w:rsid w:val="357C00B2"/>
    <w:rsid w:val="358323BB"/>
    <w:rsid w:val="358618B0"/>
    <w:rsid w:val="3589285D"/>
    <w:rsid w:val="35967E5E"/>
    <w:rsid w:val="359B692C"/>
    <w:rsid w:val="359C1F6C"/>
    <w:rsid w:val="35A02A2E"/>
    <w:rsid w:val="35A0338E"/>
    <w:rsid w:val="35A16611"/>
    <w:rsid w:val="35A31A0A"/>
    <w:rsid w:val="35A57D9C"/>
    <w:rsid w:val="35A974EC"/>
    <w:rsid w:val="35AA57D1"/>
    <w:rsid w:val="35AB5D7D"/>
    <w:rsid w:val="35AC71C8"/>
    <w:rsid w:val="35B31B82"/>
    <w:rsid w:val="35BC1034"/>
    <w:rsid w:val="35BD2DC2"/>
    <w:rsid w:val="35BF7A04"/>
    <w:rsid w:val="35C154C0"/>
    <w:rsid w:val="35C7584B"/>
    <w:rsid w:val="35D2581D"/>
    <w:rsid w:val="35D31DE1"/>
    <w:rsid w:val="35D361F7"/>
    <w:rsid w:val="35D801CA"/>
    <w:rsid w:val="35DB6085"/>
    <w:rsid w:val="35DD2AEE"/>
    <w:rsid w:val="35E425DA"/>
    <w:rsid w:val="35EA6509"/>
    <w:rsid w:val="35ED04DC"/>
    <w:rsid w:val="35F44E5C"/>
    <w:rsid w:val="35F45994"/>
    <w:rsid w:val="35F743F3"/>
    <w:rsid w:val="35F8217F"/>
    <w:rsid w:val="3602050E"/>
    <w:rsid w:val="36032041"/>
    <w:rsid w:val="36077B5A"/>
    <w:rsid w:val="36101A49"/>
    <w:rsid w:val="36142823"/>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36A47"/>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02113"/>
    <w:rsid w:val="36A312B2"/>
    <w:rsid w:val="36A671C3"/>
    <w:rsid w:val="36A9265A"/>
    <w:rsid w:val="36A9393B"/>
    <w:rsid w:val="36AA239C"/>
    <w:rsid w:val="36B121C7"/>
    <w:rsid w:val="36B2486C"/>
    <w:rsid w:val="36B307B1"/>
    <w:rsid w:val="36BA14F4"/>
    <w:rsid w:val="36C45C2A"/>
    <w:rsid w:val="36CA6FF3"/>
    <w:rsid w:val="36CB04A2"/>
    <w:rsid w:val="36D009E5"/>
    <w:rsid w:val="36D27C18"/>
    <w:rsid w:val="36D40F4C"/>
    <w:rsid w:val="36D512A9"/>
    <w:rsid w:val="36D85209"/>
    <w:rsid w:val="36D934D3"/>
    <w:rsid w:val="36D94280"/>
    <w:rsid w:val="36DE2053"/>
    <w:rsid w:val="36E07ED3"/>
    <w:rsid w:val="36E222AF"/>
    <w:rsid w:val="36F03F0E"/>
    <w:rsid w:val="36F414F3"/>
    <w:rsid w:val="36F902E0"/>
    <w:rsid w:val="37002C93"/>
    <w:rsid w:val="37051032"/>
    <w:rsid w:val="37052628"/>
    <w:rsid w:val="370974B4"/>
    <w:rsid w:val="370A2278"/>
    <w:rsid w:val="371A5A8E"/>
    <w:rsid w:val="371B03AE"/>
    <w:rsid w:val="371E6151"/>
    <w:rsid w:val="37200042"/>
    <w:rsid w:val="37271A7B"/>
    <w:rsid w:val="37277663"/>
    <w:rsid w:val="372A07F2"/>
    <w:rsid w:val="37342518"/>
    <w:rsid w:val="37357964"/>
    <w:rsid w:val="373B5161"/>
    <w:rsid w:val="373D6F58"/>
    <w:rsid w:val="37446333"/>
    <w:rsid w:val="37446A77"/>
    <w:rsid w:val="37450271"/>
    <w:rsid w:val="374D0B20"/>
    <w:rsid w:val="37557969"/>
    <w:rsid w:val="375D4473"/>
    <w:rsid w:val="37615F3C"/>
    <w:rsid w:val="376406D3"/>
    <w:rsid w:val="376B106B"/>
    <w:rsid w:val="37755EB7"/>
    <w:rsid w:val="377963D6"/>
    <w:rsid w:val="377A5B12"/>
    <w:rsid w:val="377A5D14"/>
    <w:rsid w:val="378075A4"/>
    <w:rsid w:val="3783595B"/>
    <w:rsid w:val="37840F0B"/>
    <w:rsid w:val="378772DD"/>
    <w:rsid w:val="378917C1"/>
    <w:rsid w:val="378A731A"/>
    <w:rsid w:val="378E3617"/>
    <w:rsid w:val="37931A90"/>
    <w:rsid w:val="37963C65"/>
    <w:rsid w:val="37A4082B"/>
    <w:rsid w:val="37A4627C"/>
    <w:rsid w:val="37A530D5"/>
    <w:rsid w:val="37A643C8"/>
    <w:rsid w:val="37AD303A"/>
    <w:rsid w:val="37AE534B"/>
    <w:rsid w:val="37AF0370"/>
    <w:rsid w:val="37B1214B"/>
    <w:rsid w:val="37B336FE"/>
    <w:rsid w:val="37B5292C"/>
    <w:rsid w:val="37BA6351"/>
    <w:rsid w:val="37C0226A"/>
    <w:rsid w:val="37C265EA"/>
    <w:rsid w:val="37C3698D"/>
    <w:rsid w:val="37C93B72"/>
    <w:rsid w:val="37CC231E"/>
    <w:rsid w:val="37CC50A4"/>
    <w:rsid w:val="37D644F2"/>
    <w:rsid w:val="37D91086"/>
    <w:rsid w:val="37E22653"/>
    <w:rsid w:val="37E5339D"/>
    <w:rsid w:val="37E73B73"/>
    <w:rsid w:val="37ED5E3A"/>
    <w:rsid w:val="37EF1B98"/>
    <w:rsid w:val="37F311D3"/>
    <w:rsid w:val="37F7242F"/>
    <w:rsid w:val="37F8105B"/>
    <w:rsid w:val="37FD1EC6"/>
    <w:rsid w:val="380579FE"/>
    <w:rsid w:val="380A2EB4"/>
    <w:rsid w:val="380A7781"/>
    <w:rsid w:val="38157509"/>
    <w:rsid w:val="38194CC2"/>
    <w:rsid w:val="381979D3"/>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6B6319"/>
    <w:rsid w:val="38747711"/>
    <w:rsid w:val="38775820"/>
    <w:rsid w:val="387F0A30"/>
    <w:rsid w:val="38822AC1"/>
    <w:rsid w:val="388574CD"/>
    <w:rsid w:val="38873362"/>
    <w:rsid w:val="38876F05"/>
    <w:rsid w:val="38894DA5"/>
    <w:rsid w:val="38911497"/>
    <w:rsid w:val="389121D9"/>
    <w:rsid w:val="38913DAB"/>
    <w:rsid w:val="38962777"/>
    <w:rsid w:val="38981AB5"/>
    <w:rsid w:val="389F07B0"/>
    <w:rsid w:val="38A30506"/>
    <w:rsid w:val="38A40C18"/>
    <w:rsid w:val="38A433DE"/>
    <w:rsid w:val="38A61C5A"/>
    <w:rsid w:val="38AB306B"/>
    <w:rsid w:val="38AC4968"/>
    <w:rsid w:val="38B9506E"/>
    <w:rsid w:val="38BE3112"/>
    <w:rsid w:val="38BE762D"/>
    <w:rsid w:val="38BF0FE7"/>
    <w:rsid w:val="38BF2270"/>
    <w:rsid w:val="38C0788B"/>
    <w:rsid w:val="38C2676F"/>
    <w:rsid w:val="38C33701"/>
    <w:rsid w:val="38C36346"/>
    <w:rsid w:val="38C43916"/>
    <w:rsid w:val="38C56458"/>
    <w:rsid w:val="38C84FBF"/>
    <w:rsid w:val="38CD5A46"/>
    <w:rsid w:val="38D05F26"/>
    <w:rsid w:val="38D124F5"/>
    <w:rsid w:val="38D504F4"/>
    <w:rsid w:val="38D828C2"/>
    <w:rsid w:val="38D95A84"/>
    <w:rsid w:val="38E11AA1"/>
    <w:rsid w:val="38E16BBA"/>
    <w:rsid w:val="38E45926"/>
    <w:rsid w:val="38E46191"/>
    <w:rsid w:val="38EB7945"/>
    <w:rsid w:val="38EC260C"/>
    <w:rsid w:val="38EF0DB7"/>
    <w:rsid w:val="38F50C85"/>
    <w:rsid w:val="39033292"/>
    <w:rsid w:val="39065A02"/>
    <w:rsid w:val="390D48A5"/>
    <w:rsid w:val="39105718"/>
    <w:rsid w:val="39147611"/>
    <w:rsid w:val="39214B72"/>
    <w:rsid w:val="39295CDE"/>
    <w:rsid w:val="392B6A4C"/>
    <w:rsid w:val="393125F0"/>
    <w:rsid w:val="393232FB"/>
    <w:rsid w:val="393544DD"/>
    <w:rsid w:val="393873DF"/>
    <w:rsid w:val="393962EC"/>
    <w:rsid w:val="393F6CD7"/>
    <w:rsid w:val="39457868"/>
    <w:rsid w:val="394620D9"/>
    <w:rsid w:val="39462EDC"/>
    <w:rsid w:val="394935B8"/>
    <w:rsid w:val="394C557A"/>
    <w:rsid w:val="3952190F"/>
    <w:rsid w:val="39541117"/>
    <w:rsid w:val="395753F2"/>
    <w:rsid w:val="395771BA"/>
    <w:rsid w:val="395811AF"/>
    <w:rsid w:val="39586624"/>
    <w:rsid w:val="39591EA6"/>
    <w:rsid w:val="395B7E6D"/>
    <w:rsid w:val="395C1E67"/>
    <w:rsid w:val="395D360D"/>
    <w:rsid w:val="39676A41"/>
    <w:rsid w:val="39686D44"/>
    <w:rsid w:val="39695DEF"/>
    <w:rsid w:val="3973175F"/>
    <w:rsid w:val="39762B94"/>
    <w:rsid w:val="397E700C"/>
    <w:rsid w:val="39834074"/>
    <w:rsid w:val="39854FBF"/>
    <w:rsid w:val="39885108"/>
    <w:rsid w:val="398A2308"/>
    <w:rsid w:val="398A489E"/>
    <w:rsid w:val="398B0DB3"/>
    <w:rsid w:val="39907940"/>
    <w:rsid w:val="399602F5"/>
    <w:rsid w:val="3996604A"/>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D2FB3"/>
    <w:rsid w:val="3A0067B6"/>
    <w:rsid w:val="3A026596"/>
    <w:rsid w:val="3A082ABE"/>
    <w:rsid w:val="3A0A6393"/>
    <w:rsid w:val="3A0E18F6"/>
    <w:rsid w:val="3A0E766B"/>
    <w:rsid w:val="3A181AC2"/>
    <w:rsid w:val="3A1A155D"/>
    <w:rsid w:val="3A1A5D0A"/>
    <w:rsid w:val="3A237175"/>
    <w:rsid w:val="3A264A9F"/>
    <w:rsid w:val="3A29529A"/>
    <w:rsid w:val="3A2B2AA6"/>
    <w:rsid w:val="3A2E67B0"/>
    <w:rsid w:val="3A2F3AA2"/>
    <w:rsid w:val="3A3D5DAF"/>
    <w:rsid w:val="3A443D4B"/>
    <w:rsid w:val="3A475FA8"/>
    <w:rsid w:val="3A4D47CA"/>
    <w:rsid w:val="3A521259"/>
    <w:rsid w:val="3A543180"/>
    <w:rsid w:val="3A616CAD"/>
    <w:rsid w:val="3A711C68"/>
    <w:rsid w:val="3A7927E8"/>
    <w:rsid w:val="3A796E46"/>
    <w:rsid w:val="3A7A023C"/>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DE5C5A"/>
    <w:rsid w:val="3ADF1AAE"/>
    <w:rsid w:val="3AED09BD"/>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3A1CDA"/>
    <w:rsid w:val="3B456D7F"/>
    <w:rsid w:val="3B4F6EF2"/>
    <w:rsid w:val="3B517555"/>
    <w:rsid w:val="3B553600"/>
    <w:rsid w:val="3B563186"/>
    <w:rsid w:val="3B587BDA"/>
    <w:rsid w:val="3B5E261D"/>
    <w:rsid w:val="3B5F14B4"/>
    <w:rsid w:val="3B616FBE"/>
    <w:rsid w:val="3B683A4D"/>
    <w:rsid w:val="3B6A3CF4"/>
    <w:rsid w:val="3B6A69F9"/>
    <w:rsid w:val="3B6D5AE8"/>
    <w:rsid w:val="3B6F5B73"/>
    <w:rsid w:val="3B70725E"/>
    <w:rsid w:val="3B7236B3"/>
    <w:rsid w:val="3B7B1D0B"/>
    <w:rsid w:val="3B850B78"/>
    <w:rsid w:val="3B86470F"/>
    <w:rsid w:val="3B873119"/>
    <w:rsid w:val="3B896F99"/>
    <w:rsid w:val="3B94244F"/>
    <w:rsid w:val="3B9A4A30"/>
    <w:rsid w:val="3B9C2663"/>
    <w:rsid w:val="3B9C285E"/>
    <w:rsid w:val="3B9D79CE"/>
    <w:rsid w:val="3BA17E84"/>
    <w:rsid w:val="3BA35FC1"/>
    <w:rsid w:val="3BA566FD"/>
    <w:rsid w:val="3BA7008A"/>
    <w:rsid w:val="3BAA13E4"/>
    <w:rsid w:val="3BAF052C"/>
    <w:rsid w:val="3BB40DC9"/>
    <w:rsid w:val="3BB47D9F"/>
    <w:rsid w:val="3BB72B5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A4436"/>
    <w:rsid w:val="3C0B6499"/>
    <w:rsid w:val="3C0E09BE"/>
    <w:rsid w:val="3C0F1954"/>
    <w:rsid w:val="3C0F347A"/>
    <w:rsid w:val="3C104621"/>
    <w:rsid w:val="3C1071B6"/>
    <w:rsid w:val="3C1B14F3"/>
    <w:rsid w:val="3C1E1E84"/>
    <w:rsid w:val="3C1E391D"/>
    <w:rsid w:val="3C21000D"/>
    <w:rsid w:val="3C237821"/>
    <w:rsid w:val="3C262C09"/>
    <w:rsid w:val="3C294498"/>
    <w:rsid w:val="3C2A1C6F"/>
    <w:rsid w:val="3C2D5003"/>
    <w:rsid w:val="3C333216"/>
    <w:rsid w:val="3C36018F"/>
    <w:rsid w:val="3C3A7F01"/>
    <w:rsid w:val="3C3B0B4B"/>
    <w:rsid w:val="3C3D016E"/>
    <w:rsid w:val="3C4864AA"/>
    <w:rsid w:val="3C49796D"/>
    <w:rsid w:val="3C4C4F27"/>
    <w:rsid w:val="3C4F7D80"/>
    <w:rsid w:val="3C5475AD"/>
    <w:rsid w:val="3C591787"/>
    <w:rsid w:val="3C6102F0"/>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77FB5"/>
    <w:rsid w:val="3CCC4D4D"/>
    <w:rsid w:val="3CCE0448"/>
    <w:rsid w:val="3CD71E34"/>
    <w:rsid w:val="3CD93A3D"/>
    <w:rsid w:val="3CDB5D82"/>
    <w:rsid w:val="3CDE394C"/>
    <w:rsid w:val="3CE54B9F"/>
    <w:rsid w:val="3CE86761"/>
    <w:rsid w:val="3CEC51B9"/>
    <w:rsid w:val="3CEE2F81"/>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4E3C3B"/>
    <w:rsid w:val="3D58163A"/>
    <w:rsid w:val="3D5A05E2"/>
    <w:rsid w:val="3D5C63D4"/>
    <w:rsid w:val="3D5E50E6"/>
    <w:rsid w:val="3D5F6029"/>
    <w:rsid w:val="3D6065CA"/>
    <w:rsid w:val="3D611CC7"/>
    <w:rsid w:val="3D6223C0"/>
    <w:rsid w:val="3D641D7A"/>
    <w:rsid w:val="3D6D009C"/>
    <w:rsid w:val="3D7335E1"/>
    <w:rsid w:val="3D744922"/>
    <w:rsid w:val="3D7618FA"/>
    <w:rsid w:val="3D766E42"/>
    <w:rsid w:val="3D791797"/>
    <w:rsid w:val="3D807BCD"/>
    <w:rsid w:val="3D82057E"/>
    <w:rsid w:val="3D832B00"/>
    <w:rsid w:val="3D8522AA"/>
    <w:rsid w:val="3D8A0C19"/>
    <w:rsid w:val="3D8A468D"/>
    <w:rsid w:val="3D917A42"/>
    <w:rsid w:val="3D9816B4"/>
    <w:rsid w:val="3D990197"/>
    <w:rsid w:val="3D9A0655"/>
    <w:rsid w:val="3D9B0B47"/>
    <w:rsid w:val="3D9D4DFB"/>
    <w:rsid w:val="3DA22306"/>
    <w:rsid w:val="3DA56998"/>
    <w:rsid w:val="3DA60C13"/>
    <w:rsid w:val="3DA9667F"/>
    <w:rsid w:val="3DB17297"/>
    <w:rsid w:val="3DBB6C89"/>
    <w:rsid w:val="3DCD6921"/>
    <w:rsid w:val="3DD67156"/>
    <w:rsid w:val="3DD745F2"/>
    <w:rsid w:val="3DE04FCE"/>
    <w:rsid w:val="3DE37514"/>
    <w:rsid w:val="3DE548AC"/>
    <w:rsid w:val="3DE653F8"/>
    <w:rsid w:val="3DE72673"/>
    <w:rsid w:val="3DEB1255"/>
    <w:rsid w:val="3DEB4AAE"/>
    <w:rsid w:val="3DEE1FBE"/>
    <w:rsid w:val="3DEE62E8"/>
    <w:rsid w:val="3DF94D6E"/>
    <w:rsid w:val="3E0448CB"/>
    <w:rsid w:val="3E073B6A"/>
    <w:rsid w:val="3E0918A5"/>
    <w:rsid w:val="3E0F25EA"/>
    <w:rsid w:val="3E146F59"/>
    <w:rsid w:val="3E197897"/>
    <w:rsid w:val="3E1F3045"/>
    <w:rsid w:val="3E2007EA"/>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26A03"/>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A1E61"/>
    <w:rsid w:val="3ECD06E3"/>
    <w:rsid w:val="3ECF0F50"/>
    <w:rsid w:val="3ECF234A"/>
    <w:rsid w:val="3ED03828"/>
    <w:rsid w:val="3ED671CD"/>
    <w:rsid w:val="3EE107F4"/>
    <w:rsid w:val="3EE14A57"/>
    <w:rsid w:val="3EE21263"/>
    <w:rsid w:val="3EF36AD8"/>
    <w:rsid w:val="3EF53397"/>
    <w:rsid w:val="3EF535E4"/>
    <w:rsid w:val="3EF53FC6"/>
    <w:rsid w:val="3EF62480"/>
    <w:rsid w:val="3EFB57DC"/>
    <w:rsid w:val="3EFE55C6"/>
    <w:rsid w:val="3F0572F1"/>
    <w:rsid w:val="3F104904"/>
    <w:rsid w:val="3F144192"/>
    <w:rsid w:val="3F180A9E"/>
    <w:rsid w:val="3F1871AF"/>
    <w:rsid w:val="3F206E95"/>
    <w:rsid w:val="3F217DDA"/>
    <w:rsid w:val="3F291A23"/>
    <w:rsid w:val="3F2B184D"/>
    <w:rsid w:val="3F2C36BA"/>
    <w:rsid w:val="3F2C7646"/>
    <w:rsid w:val="3F2F01F0"/>
    <w:rsid w:val="3F3C6744"/>
    <w:rsid w:val="3F421D47"/>
    <w:rsid w:val="3F43088C"/>
    <w:rsid w:val="3F441B08"/>
    <w:rsid w:val="3F4A4087"/>
    <w:rsid w:val="3F4D0734"/>
    <w:rsid w:val="3F4F7841"/>
    <w:rsid w:val="3F5361F5"/>
    <w:rsid w:val="3F555F0F"/>
    <w:rsid w:val="3F556D23"/>
    <w:rsid w:val="3F585046"/>
    <w:rsid w:val="3F6160C2"/>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B4BEF"/>
    <w:rsid w:val="3FBB6F9C"/>
    <w:rsid w:val="3FBE30B8"/>
    <w:rsid w:val="3FC044DE"/>
    <w:rsid w:val="3FCB5038"/>
    <w:rsid w:val="3FCF604C"/>
    <w:rsid w:val="3FD210AC"/>
    <w:rsid w:val="3FD249C2"/>
    <w:rsid w:val="3FD53CFE"/>
    <w:rsid w:val="3FD9316A"/>
    <w:rsid w:val="3FE1096B"/>
    <w:rsid w:val="3FE210C1"/>
    <w:rsid w:val="3FE26F6C"/>
    <w:rsid w:val="3FE702F1"/>
    <w:rsid w:val="3FE9250A"/>
    <w:rsid w:val="3FEA4714"/>
    <w:rsid w:val="3FEB1C22"/>
    <w:rsid w:val="3FEE2117"/>
    <w:rsid w:val="3FF006FF"/>
    <w:rsid w:val="3FFA58A6"/>
    <w:rsid w:val="3FFA5C63"/>
    <w:rsid w:val="3FFD6B0B"/>
    <w:rsid w:val="40073561"/>
    <w:rsid w:val="400A1CFC"/>
    <w:rsid w:val="401D6DEE"/>
    <w:rsid w:val="401F7AF6"/>
    <w:rsid w:val="40201634"/>
    <w:rsid w:val="402079EB"/>
    <w:rsid w:val="402A14C1"/>
    <w:rsid w:val="402C52D5"/>
    <w:rsid w:val="402E1CA4"/>
    <w:rsid w:val="40372C35"/>
    <w:rsid w:val="403870E4"/>
    <w:rsid w:val="403D2472"/>
    <w:rsid w:val="403D7C5C"/>
    <w:rsid w:val="40400533"/>
    <w:rsid w:val="40402A78"/>
    <w:rsid w:val="404338DB"/>
    <w:rsid w:val="4048358D"/>
    <w:rsid w:val="4049754C"/>
    <w:rsid w:val="404B2521"/>
    <w:rsid w:val="404D22FD"/>
    <w:rsid w:val="404F7DEB"/>
    <w:rsid w:val="40572DA6"/>
    <w:rsid w:val="405A424E"/>
    <w:rsid w:val="406D461C"/>
    <w:rsid w:val="406F7D87"/>
    <w:rsid w:val="40764D2C"/>
    <w:rsid w:val="40786FBC"/>
    <w:rsid w:val="407A5C67"/>
    <w:rsid w:val="407B4FD0"/>
    <w:rsid w:val="40801F54"/>
    <w:rsid w:val="40814698"/>
    <w:rsid w:val="40825FDB"/>
    <w:rsid w:val="40836EAD"/>
    <w:rsid w:val="40907287"/>
    <w:rsid w:val="409238F2"/>
    <w:rsid w:val="40930EBC"/>
    <w:rsid w:val="40953EC0"/>
    <w:rsid w:val="409D027A"/>
    <w:rsid w:val="409F75BB"/>
    <w:rsid w:val="40A802CF"/>
    <w:rsid w:val="40AB3054"/>
    <w:rsid w:val="40AE78C1"/>
    <w:rsid w:val="40AF2B72"/>
    <w:rsid w:val="40BD153A"/>
    <w:rsid w:val="40C20837"/>
    <w:rsid w:val="40C2126A"/>
    <w:rsid w:val="40C3250A"/>
    <w:rsid w:val="40CD7BD8"/>
    <w:rsid w:val="40CE24AF"/>
    <w:rsid w:val="40D022F1"/>
    <w:rsid w:val="40D07371"/>
    <w:rsid w:val="40D72999"/>
    <w:rsid w:val="40DF3ABC"/>
    <w:rsid w:val="40E75AF0"/>
    <w:rsid w:val="40E87142"/>
    <w:rsid w:val="40EA1C0C"/>
    <w:rsid w:val="40EF3C78"/>
    <w:rsid w:val="40F00A85"/>
    <w:rsid w:val="40F1013C"/>
    <w:rsid w:val="40F35427"/>
    <w:rsid w:val="40FA38BC"/>
    <w:rsid w:val="40FE1447"/>
    <w:rsid w:val="41053DED"/>
    <w:rsid w:val="41216875"/>
    <w:rsid w:val="412506DF"/>
    <w:rsid w:val="412615A4"/>
    <w:rsid w:val="412D52A9"/>
    <w:rsid w:val="41320BD6"/>
    <w:rsid w:val="413314B6"/>
    <w:rsid w:val="4133548F"/>
    <w:rsid w:val="41360F5F"/>
    <w:rsid w:val="413815BA"/>
    <w:rsid w:val="413B1BAB"/>
    <w:rsid w:val="41434504"/>
    <w:rsid w:val="414559DF"/>
    <w:rsid w:val="41457A45"/>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5270A"/>
    <w:rsid w:val="418B26ED"/>
    <w:rsid w:val="41931531"/>
    <w:rsid w:val="41980F24"/>
    <w:rsid w:val="41986119"/>
    <w:rsid w:val="419B3B43"/>
    <w:rsid w:val="419E6BC2"/>
    <w:rsid w:val="41A63744"/>
    <w:rsid w:val="41A85E90"/>
    <w:rsid w:val="41AB3AB1"/>
    <w:rsid w:val="41AC6BA3"/>
    <w:rsid w:val="41AD5F07"/>
    <w:rsid w:val="41B0748D"/>
    <w:rsid w:val="41B730A3"/>
    <w:rsid w:val="41B737E0"/>
    <w:rsid w:val="41B77B6D"/>
    <w:rsid w:val="41BA081E"/>
    <w:rsid w:val="41C20F3F"/>
    <w:rsid w:val="41CF504E"/>
    <w:rsid w:val="41D1580B"/>
    <w:rsid w:val="41D57639"/>
    <w:rsid w:val="41DC5EDF"/>
    <w:rsid w:val="41DD05DE"/>
    <w:rsid w:val="41E4117E"/>
    <w:rsid w:val="41E41803"/>
    <w:rsid w:val="41E52CA5"/>
    <w:rsid w:val="41E62F5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9263B"/>
    <w:rsid w:val="421B1059"/>
    <w:rsid w:val="421E6550"/>
    <w:rsid w:val="422370F9"/>
    <w:rsid w:val="42262405"/>
    <w:rsid w:val="42294221"/>
    <w:rsid w:val="422C32BD"/>
    <w:rsid w:val="422E207E"/>
    <w:rsid w:val="423038F8"/>
    <w:rsid w:val="4238424D"/>
    <w:rsid w:val="424255E1"/>
    <w:rsid w:val="42426D8B"/>
    <w:rsid w:val="424A277B"/>
    <w:rsid w:val="424C388F"/>
    <w:rsid w:val="424C701C"/>
    <w:rsid w:val="425311DE"/>
    <w:rsid w:val="42552CD5"/>
    <w:rsid w:val="42571AE1"/>
    <w:rsid w:val="425C6315"/>
    <w:rsid w:val="42637522"/>
    <w:rsid w:val="4268449D"/>
    <w:rsid w:val="42697E79"/>
    <w:rsid w:val="426E536F"/>
    <w:rsid w:val="427034C5"/>
    <w:rsid w:val="42730E0D"/>
    <w:rsid w:val="427409B9"/>
    <w:rsid w:val="427B0595"/>
    <w:rsid w:val="427B4567"/>
    <w:rsid w:val="427E301C"/>
    <w:rsid w:val="42831021"/>
    <w:rsid w:val="42863926"/>
    <w:rsid w:val="4287026E"/>
    <w:rsid w:val="42873CB7"/>
    <w:rsid w:val="428A607C"/>
    <w:rsid w:val="429110B8"/>
    <w:rsid w:val="429252A3"/>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92119"/>
    <w:rsid w:val="434B44DC"/>
    <w:rsid w:val="435720DF"/>
    <w:rsid w:val="43605DCC"/>
    <w:rsid w:val="43614CEE"/>
    <w:rsid w:val="4362104C"/>
    <w:rsid w:val="43621947"/>
    <w:rsid w:val="4363090C"/>
    <w:rsid w:val="436408B5"/>
    <w:rsid w:val="43664819"/>
    <w:rsid w:val="436A2192"/>
    <w:rsid w:val="436C3BAB"/>
    <w:rsid w:val="436C40C2"/>
    <w:rsid w:val="437D6585"/>
    <w:rsid w:val="438042AD"/>
    <w:rsid w:val="43837C39"/>
    <w:rsid w:val="43853F53"/>
    <w:rsid w:val="438927F2"/>
    <w:rsid w:val="438A406B"/>
    <w:rsid w:val="438B6310"/>
    <w:rsid w:val="439322F0"/>
    <w:rsid w:val="43964600"/>
    <w:rsid w:val="4397231A"/>
    <w:rsid w:val="439C3431"/>
    <w:rsid w:val="439D0E7C"/>
    <w:rsid w:val="43A26A83"/>
    <w:rsid w:val="43A41643"/>
    <w:rsid w:val="43B329A6"/>
    <w:rsid w:val="43BE3F55"/>
    <w:rsid w:val="43C0281C"/>
    <w:rsid w:val="43C02B26"/>
    <w:rsid w:val="43C91C5B"/>
    <w:rsid w:val="43D10A40"/>
    <w:rsid w:val="43D27BB6"/>
    <w:rsid w:val="43D67A91"/>
    <w:rsid w:val="43E21F58"/>
    <w:rsid w:val="43E35EF0"/>
    <w:rsid w:val="43E42415"/>
    <w:rsid w:val="43F71BCF"/>
    <w:rsid w:val="43F76F69"/>
    <w:rsid w:val="43F90FED"/>
    <w:rsid w:val="43F9776B"/>
    <w:rsid w:val="43FC0DB2"/>
    <w:rsid w:val="44051440"/>
    <w:rsid w:val="44092E2E"/>
    <w:rsid w:val="44095B4D"/>
    <w:rsid w:val="440C5D56"/>
    <w:rsid w:val="44153F0C"/>
    <w:rsid w:val="44174583"/>
    <w:rsid w:val="441A5200"/>
    <w:rsid w:val="441C4432"/>
    <w:rsid w:val="441D506D"/>
    <w:rsid w:val="441E6109"/>
    <w:rsid w:val="4425456D"/>
    <w:rsid w:val="44302A1A"/>
    <w:rsid w:val="44336EAB"/>
    <w:rsid w:val="44393BD3"/>
    <w:rsid w:val="444109FB"/>
    <w:rsid w:val="44416F50"/>
    <w:rsid w:val="444E22EA"/>
    <w:rsid w:val="44584267"/>
    <w:rsid w:val="44613B53"/>
    <w:rsid w:val="446A4930"/>
    <w:rsid w:val="44705173"/>
    <w:rsid w:val="44740841"/>
    <w:rsid w:val="4476407C"/>
    <w:rsid w:val="447821C6"/>
    <w:rsid w:val="447B4A66"/>
    <w:rsid w:val="447D4136"/>
    <w:rsid w:val="44825790"/>
    <w:rsid w:val="448B5845"/>
    <w:rsid w:val="448C73DD"/>
    <w:rsid w:val="448E0EB7"/>
    <w:rsid w:val="44907237"/>
    <w:rsid w:val="449510AA"/>
    <w:rsid w:val="4499566C"/>
    <w:rsid w:val="449D7968"/>
    <w:rsid w:val="44A75520"/>
    <w:rsid w:val="44AA6690"/>
    <w:rsid w:val="44AC7B53"/>
    <w:rsid w:val="44AD2A20"/>
    <w:rsid w:val="44B41964"/>
    <w:rsid w:val="44B4690B"/>
    <w:rsid w:val="44B53006"/>
    <w:rsid w:val="44B94962"/>
    <w:rsid w:val="44BA1648"/>
    <w:rsid w:val="44BA7605"/>
    <w:rsid w:val="44BB150F"/>
    <w:rsid w:val="44BE4FA9"/>
    <w:rsid w:val="44C2514C"/>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3FB4"/>
    <w:rsid w:val="452C5F0A"/>
    <w:rsid w:val="45310312"/>
    <w:rsid w:val="453401C9"/>
    <w:rsid w:val="45347499"/>
    <w:rsid w:val="453579B0"/>
    <w:rsid w:val="45385EDA"/>
    <w:rsid w:val="453F48AB"/>
    <w:rsid w:val="454036A6"/>
    <w:rsid w:val="45446179"/>
    <w:rsid w:val="45462EBA"/>
    <w:rsid w:val="454E0AAC"/>
    <w:rsid w:val="454E4F75"/>
    <w:rsid w:val="454E6B7A"/>
    <w:rsid w:val="4551463D"/>
    <w:rsid w:val="45520426"/>
    <w:rsid w:val="45522E35"/>
    <w:rsid w:val="45572AB5"/>
    <w:rsid w:val="455A7708"/>
    <w:rsid w:val="45622EE5"/>
    <w:rsid w:val="45697967"/>
    <w:rsid w:val="456C4CA4"/>
    <w:rsid w:val="45700309"/>
    <w:rsid w:val="45757B02"/>
    <w:rsid w:val="457736FF"/>
    <w:rsid w:val="457751D0"/>
    <w:rsid w:val="45785ADF"/>
    <w:rsid w:val="45790DCE"/>
    <w:rsid w:val="457E31A2"/>
    <w:rsid w:val="457F1981"/>
    <w:rsid w:val="45835C3C"/>
    <w:rsid w:val="45870E95"/>
    <w:rsid w:val="458B757C"/>
    <w:rsid w:val="458D679F"/>
    <w:rsid w:val="459026D9"/>
    <w:rsid w:val="45917B8A"/>
    <w:rsid w:val="459B634C"/>
    <w:rsid w:val="459D445E"/>
    <w:rsid w:val="459F2381"/>
    <w:rsid w:val="45A11196"/>
    <w:rsid w:val="45A47990"/>
    <w:rsid w:val="45A60E44"/>
    <w:rsid w:val="45A74FA6"/>
    <w:rsid w:val="45AA0217"/>
    <w:rsid w:val="45AE43CF"/>
    <w:rsid w:val="45B315CE"/>
    <w:rsid w:val="45B5611D"/>
    <w:rsid w:val="45B64B84"/>
    <w:rsid w:val="45BA6033"/>
    <w:rsid w:val="45C85EA2"/>
    <w:rsid w:val="45D9022E"/>
    <w:rsid w:val="45E01AC8"/>
    <w:rsid w:val="45E3021B"/>
    <w:rsid w:val="45E37678"/>
    <w:rsid w:val="45E526A6"/>
    <w:rsid w:val="45E56E31"/>
    <w:rsid w:val="45E66893"/>
    <w:rsid w:val="45E74C92"/>
    <w:rsid w:val="45E826B2"/>
    <w:rsid w:val="45F4334C"/>
    <w:rsid w:val="460D3781"/>
    <w:rsid w:val="461B7F64"/>
    <w:rsid w:val="461C402C"/>
    <w:rsid w:val="461F36FD"/>
    <w:rsid w:val="46232D98"/>
    <w:rsid w:val="462D4B2D"/>
    <w:rsid w:val="462E4FF5"/>
    <w:rsid w:val="46365246"/>
    <w:rsid w:val="463E1C6A"/>
    <w:rsid w:val="46466453"/>
    <w:rsid w:val="464871AD"/>
    <w:rsid w:val="464937C4"/>
    <w:rsid w:val="464B3175"/>
    <w:rsid w:val="464E3AE9"/>
    <w:rsid w:val="46541070"/>
    <w:rsid w:val="465918B0"/>
    <w:rsid w:val="46591F99"/>
    <w:rsid w:val="465C35C1"/>
    <w:rsid w:val="465D0995"/>
    <w:rsid w:val="4662020E"/>
    <w:rsid w:val="466D3070"/>
    <w:rsid w:val="4671651F"/>
    <w:rsid w:val="467455D2"/>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DE786B"/>
    <w:rsid w:val="46E1018C"/>
    <w:rsid w:val="46E53AB0"/>
    <w:rsid w:val="46EA1201"/>
    <w:rsid w:val="46EE5C1E"/>
    <w:rsid w:val="46F37479"/>
    <w:rsid w:val="46F43423"/>
    <w:rsid w:val="46FC0ACF"/>
    <w:rsid w:val="46FC2FE8"/>
    <w:rsid w:val="47033281"/>
    <w:rsid w:val="47055767"/>
    <w:rsid w:val="47065799"/>
    <w:rsid w:val="470657D0"/>
    <w:rsid w:val="47073BE8"/>
    <w:rsid w:val="470872CF"/>
    <w:rsid w:val="470D53CA"/>
    <w:rsid w:val="4711048C"/>
    <w:rsid w:val="4714139C"/>
    <w:rsid w:val="471563E1"/>
    <w:rsid w:val="47167C67"/>
    <w:rsid w:val="47333B1B"/>
    <w:rsid w:val="47351654"/>
    <w:rsid w:val="473D0BD8"/>
    <w:rsid w:val="47457188"/>
    <w:rsid w:val="47502F2C"/>
    <w:rsid w:val="47561DDC"/>
    <w:rsid w:val="47592D4E"/>
    <w:rsid w:val="47644CFB"/>
    <w:rsid w:val="47666951"/>
    <w:rsid w:val="47683159"/>
    <w:rsid w:val="476A7D07"/>
    <w:rsid w:val="4773097B"/>
    <w:rsid w:val="477910B3"/>
    <w:rsid w:val="478046DF"/>
    <w:rsid w:val="479010F6"/>
    <w:rsid w:val="479766B4"/>
    <w:rsid w:val="479A2857"/>
    <w:rsid w:val="479A401E"/>
    <w:rsid w:val="479A472B"/>
    <w:rsid w:val="479D7800"/>
    <w:rsid w:val="47A240A4"/>
    <w:rsid w:val="47A60277"/>
    <w:rsid w:val="47A61856"/>
    <w:rsid w:val="47A83BFD"/>
    <w:rsid w:val="47AA1593"/>
    <w:rsid w:val="47AA7E85"/>
    <w:rsid w:val="47AB2FA4"/>
    <w:rsid w:val="47B44BED"/>
    <w:rsid w:val="47B77348"/>
    <w:rsid w:val="47BC3466"/>
    <w:rsid w:val="47BF5FB3"/>
    <w:rsid w:val="47D730B6"/>
    <w:rsid w:val="47DD6490"/>
    <w:rsid w:val="47DD6A91"/>
    <w:rsid w:val="47E62C82"/>
    <w:rsid w:val="47E9396D"/>
    <w:rsid w:val="47EB0853"/>
    <w:rsid w:val="47EB5BFA"/>
    <w:rsid w:val="47F46D42"/>
    <w:rsid w:val="47F838C0"/>
    <w:rsid w:val="47FA20F9"/>
    <w:rsid w:val="47FF3A74"/>
    <w:rsid w:val="48041F1C"/>
    <w:rsid w:val="480B1862"/>
    <w:rsid w:val="480B7A59"/>
    <w:rsid w:val="48111DC2"/>
    <w:rsid w:val="48156BFB"/>
    <w:rsid w:val="481E5F8D"/>
    <w:rsid w:val="48204877"/>
    <w:rsid w:val="48211604"/>
    <w:rsid w:val="482B39B5"/>
    <w:rsid w:val="482D350F"/>
    <w:rsid w:val="483A4006"/>
    <w:rsid w:val="483B5BCA"/>
    <w:rsid w:val="483C2A8C"/>
    <w:rsid w:val="483F5850"/>
    <w:rsid w:val="48424FA1"/>
    <w:rsid w:val="484647AE"/>
    <w:rsid w:val="484F1901"/>
    <w:rsid w:val="485216B9"/>
    <w:rsid w:val="485832AC"/>
    <w:rsid w:val="48594C05"/>
    <w:rsid w:val="485D5413"/>
    <w:rsid w:val="485D58DA"/>
    <w:rsid w:val="485F3492"/>
    <w:rsid w:val="4864535D"/>
    <w:rsid w:val="48664A02"/>
    <w:rsid w:val="4869579D"/>
    <w:rsid w:val="486A0A26"/>
    <w:rsid w:val="487141DB"/>
    <w:rsid w:val="48740F16"/>
    <w:rsid w:val="48747A97"/>
    <w:rsid w:val="48754F4E"/>
    <w:rsid w:val="48782B9C"/>
    <w:rsid w:val="487A2A25"/>
    <w:rsid w:val="487C0397"/>
    <w:rsid w:val="48825526"/>
    <w:rsid w:val="48850976"/>
    <w:rsid w:val="48852288"/>
    <w:rsid w:val="488D22FD"/>
    <w:rsid w:val="488E25F1"/>
    <w:rsid w:val="4890139D"/>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CC2535"/>
    <w:rsid w:val="48CE0D2A"/>
    <w:rsid w:val="48D13C35"/>
    <w:rsid w:val="48D25798"/>
    <w:rsid w:val="48DC218B"/>
    <w:rsid w:val="48E23DD7"/>
    <w:rsid w:val="48EA0E66"/>
    <w:rsid w:val="48EA5260"/>
    <w:rsid w:val="48F04BA1"/>
    <w:rsid w:val="48F447F8"/>
    <w:rsid w:val="48F612E3"/>
    <w:rsid w:val="48FE11C0"/>
    <w:rsid w:val="48FE59FA"/>
    <w:rsid w:val="49002B48"/>
    <w:rsid w:val="49046287"/>
    <w:rsid w:val="490517F7"/>
    <w:rsid w:val="49075A63"/>
    <w:rsid w:val="490933FA"/>
    <w:rsid w:val="490A4D2F"/>
    <w:rsid w:val="490A64AF"/>
    <w:rsid w:val="49111AA9"/>
    <w:rsid w:val="491709CE"/>
    <w:rsid w:val="491C3261"/>
    <w:rsid w:val="49217522"/>
    <w:rsid w:val="49224F55"/>
    <w:rsid w:val="49241D45"/>
    <w:rsid w:val="49277293"/>
    <w:rsid w:val="4929748F"/>
    <w:rsid w:val="492F1F4E"/>
    <w:rsid w:val="4935171C"/>
    <w:rsid w:val="49366254"/>
    <w:rsid w:val="493A0176"/>
    <w:rsid w:val="49432B91"/>
    <w:rsid w:val="494502AA"/>
    <w:rsid w:val="494D614B"/>
    <w:rsid w:val="494E5BD4"/>
    <w:rsid w:val="49505C0C"/>
    <w:rsid w:val="49535C21"/>
    <w:rsid w:val="49542533"/>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F38E6"/>
    <w:rsid w:val="49927DFC"/>
    <w:rsid w:val="499322C4"/>
    <w:rsid w:val="4995326A"/>
    <w:rsid w:val="4995554E"/>
    <w:rsid w:val="49957C8F"/>
    <w:rsid w:val="499B3646"/>
    <w:rsid w:val="499C3504"/>
    <w:rsid w:val="499C3A4F"/>
    <w:rsid w:val="499E20E3"/>
    <w:rsid w:val="49A43EE6"/>
    <w:rsid w:val="49AB3DB8"/>
    <w:rsid w:val="49B4201A"/>
    <w:rsid w:val="49BA6924"/>
    <w:rsid w:val="49BD3D9E"/>
    <w:rsid w:val="49BD484D"/>
    <w:rsid w:val="49C20C6C"/>
    <w:rsid w:val="49C34948"/>
    <w:rsid w:val="49CE0C89"/>
    <w:rsid w:val="49D604FE"/>
    <w:rsid w:val="49D93C20"/>
    <w:rsid w:val="49DA3FD3"/>
    <w:rsid w:val="49DA7AB7"/>
    <w:rsid w:val="49DC5944"/>
    <w:rsid w:val="49DD38B2"/>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A59C8"/>
    <w:rsid w:val="4A1F7925"/>
    <w:rsid w:val="4A2322DF"/>
    <w:rsid w:val="4A2E7749"/>
    <w:rsid w:val="4A381BA6"/>
    <w:rsid w:val="4A3926E2"/>
    <w:rsid w:val="4A412D97"/>
    <w:rsid w:val="4A4172CE"/>
    <w:rsid w:val="4A43236C"/>
    <w:rsid w:val="4A4A176A"/>
    <w:rsid w:val="4A502E1F"/>
    <w:rsid w:val="4A5370A6"/>
    <w:rsid w:val="4A5C4447"/>
    <w:rsid w:val="4A5C6983"/>
    <w:rsid w:val="4A643FBD"/>
    <w:rsid w:val="4A652ED9"/>
    <w:rsid w:val="4A6C0FC7"/>
    <w:rsid w:val="4A6C3C44"/>
    <w:rsid w:val="4A6D7FF3"/>
    <w:rsid w:val="4A732739"/>
    <w:rsid w:val="4A732F85"/>
    <w:rsid w:val="4A7413BF"/>
    <w:rsid w:val="4A7D09F3"/>
    <w:rsid w:val="4A825AD9"/>
    <w:rsid w:val="4A840EFE"/>
    <w:rsid w:val="4A850C8F"/>
    <w:rsid w:val="4A8953AB"/>
    <w:rsid w:val="4A8B5CEB"/>
    <w:rsid w:val="4A8B70F9"/>
    <w:rsid w:val="4A916931"/>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11535"/>
    <w:rsid w:val="4B020D4E"/>
    <w:rsid w:val="4B021266"/>
    <w:rsid w:val="4B081F1A"/>
    <w:rsid w:val="4B0A119A"/>
    <w:rsid w:val="4B0D6C0E"/>
    <w:rsid w:val="4B183767"/>
    <w:rsid w:val="4B1C66E8"/>
    <w:rsid w:val="4B205D7D"/>
    <w:rsid w:val="4B28587C"/>
    <w:rsid w:val="4B292683"/>
    <w:rsid w:val="4B294C7C"/>
    <w:rsid w:val="4B376E2E"/>
    <w:rsid w:val="4B385AE2"/>
    <w:rsid w:val="4B387AC6"/>
    <w:rsid w:val="4B3D5656"/>
    <w:rsid w:val="4B3F4861"/>
    <w:rsid w:val="4B475D91"/>
    <w:rsid w:val="4B4C459F"/>
    <w:rsid w:val="4B5005ED"/>
    <w:rsid w:val="4B50566A"/>
    <w:rsid w:val="4B53122B"/>
    <w:rsid w:val="4B544769"/>
    <w:rsid w:val="4B571002"/>
    <w:rsid w:val="4B5863B7"/>
    <w:rsid w:val="4B5912E9"/>
    <w:rsid w:val="4B5D1DDE"/>
    <w:rsid w:val="4B632C97"/>
    <w:rsid w:val="4B683C6A"/>
    <w:rsid w:val="4B6977AB"/>
    <w:rsid w:val="4B705844"/>
    <w:rsid w:val="4B7129EA"/>
    <w:rsid w:val="4B7224D0"/>
    <w:rsid w:val="4B731C20"/>
    <w:rsid w:val="4B774607"/>
    <w:rsid w:val="4B784271"/>
    <w:rsid w:val="4B796B74"/>
    <w:rsid w:val="4B7A342E"/>
    <w:rsid w:val="4B7A3C96"/>
    <w:rsid w:val="4B7D4F5D"/>
    <w:rsid w:val="4B810673"/>
    <w:rsid w:val="4B82716C"/>
    <w:rsid w:val="4B857EC6"/>
    <w:rsid w:val="4B863275"/>
    <w:rsid w:val="4B8829C1"/>
    <w:rsid w:val="4B8A2918"/>
    <w:rsid w:val="4B901807"/>
    <w:rsid w:val="4B9B25E4"/>
    <w:rsid w:val="4B9C55AC"/>
    <w:rsid w:val="4B9E314D"/>
    <w:rsid w:val="4BA64049"/>
    <w:rsid w:val="4BA72908"/>
    <w:rsid w:val="4BAC76E4"/>
    <w:rsid w:val="4BAD4CA2"/>
    <w:rsid w:val="4BB42604"/>
    <w:rsid w:val="4BB548C0"/>
    <w:rsid w:val="4BB5799E"/>
    <w:rsid w:val="4BBD6286"/>
    <w:rsid w:val="4BC456EF"/>
    <w:rsid w:val="4BC647B0"/>
    <w:rsid w:val="4BCB1BAE"/>
    <w:rsid w:val="4BD75B89"/>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2C2DC9"/>
    <w:rsid w:val="4C312ECF"/>
    <w:rsid w:val="4C422CA7"/>
    <w:rsid w:val="4C427C5C"/>
    <w:rsid w:val="4C5035A1"/>
    <w:rsid w:val="4C5D7C19"/>
    <w:rsid w:val="4C5F0B5D"/>
    <w:rsid w:val="4C606F33"/>
    <w:rsid w:val="4C6426ED"/>
    <w:rsid w:val="4C64471A"/>
    <w:rsid w:val="4C645054"/>
    <w:rsid w:val="4C6B4D8C"/>
    <w:rsid w:val="4C6C2FE2"/>
    <w:rsid w:val="4C6D5BD4"/>
    <w:rsid w:val="4C6F6529"/>
    <w:rsid w:val="4C77619E"/>
    <w:rsid w:val="4C860543"/>
    <w:rsid w:val="4C8740CC"/>
    <w:rsid w:val="4C8C0F81"/>
    <w:rsid w:val="4C8E48D8"/>
    <w:rsid w:val="4C9538F4"/>
    <w:rsid w:val="4C9601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90FCB"/>
    <w:rsid w:val="4CDA21DD"/>
    <w:rsid w:val="4CDD4AFB"/>
    <w:rsid w:val="4CE2021B"/>
    <w:rsid w:val="4CE472E9"/>
    <w:rsid w:val="4CF045FC"/>
    <w:rsid w:val="4CF04CFC"/>
    <w:rsid w:val="4CF05C74"/>
    <w:rsid w:val="4CF12BC2"/>
    <w:rsid w:val="4CF26BC3"/>
    <w:rsid w:val="4CFB51DB"/>
    <w:rsid w:val="4CFC3F2E"/>
    <w:rsid w:val="4D0452B9"/>
    <w:rsid w:val="4D063B0D"/>
    <w:rsid w:val="4D0F1680"/>
    <w:rsid w:val="4D1855BA"/>
    <w:rsid w:val="4D1D6CA0"/>
    <w:rsid w:val="4D1E5144"/>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86533"/>
    <w:rsid w:val="4D795468"/>
    <w:rsid w:val="4D824513"/>
    <w:rsid w:val="4D865F70"/>
    <w:rsid w:val="4D8814DC"/>
    <w:rsid w:val="4D8A58C0"/>
    <w:rsid w:val="4D8D11C1"/>
    <w:rsid w:val="4D922BF5"/>
    <w:rsid w:val="4D9B5A29"/>
    <w:rsid w:val="4DA53BC8"/>
    <w:rsid w:val="4DB056F4"/>
    <w:rsid w:val="4DB41824"/>
    <w:rsid w:val="4DB95A69"/>
    <w:rsid w:val="4DBD1F3A"/>
    <w:rsid w:val="4DBD526D"/>
    <w:rsid w:val="4DC31B92"/>
    <w:rsid w:val="4DCA77DE"/>
    <w:rsid w:val="4DD776ED"/>
    <w:rsid w:val="4DDB0C62"/>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0B6496"/>
    <w:rsid w:val="4E0E490C"/>
    <w:rsid w:val="4E1561BE"/>
    <w:rsid w:val="4E176DF3"/>
    <w:rsid w:val="4E1A2F68"/>
    <w:rsid w:val="4E1E7D0E"/>
    <w:rsid w:val="4E210A5C"/>
    <w:rsid w:val="4E2C6A36"/>
    <w:rsid w:val="4E342F40"/>
    <w:rsid w:val="4E3A2C21"/>
    <w:rsid w:val="4E412A4D"/>
    <w:rsid w:val="4E4475F5"/>
    <w:rsid w:val="4E501266"/>
    <w:rsid w:val="4E587463"/>
    <w:rsid w:val="4E5A3449"/>
    <w:rsid w:val="4E5A5499"/>
    <w:rsid w:val="4E6009EF"/>
    <w:rsid w:val="4E656FCA"/>
    <w:rsid w:val="4E68543B"/>
    <w:rsid w:val="4E6906EE"/>
    <w:rsid w:val="4E694E99"/>
    <w:rsid w:val="4E6D1740"/>
    <w:rsid w:val="4E7125DA"/>
    <w:rsid w:val="4E795FE9"/>
    <w:rsid w:val="4E797F06"/>
    <w:rsid w:val="4E8C6A91"/>
    <w:rsid w:val="4E8D3751"/>
    <w:rsid w:val="4E8D41BC"/>
    <w:rsid w:val="4E904370"/>
    <w:rsid w:val="4E937457"/>
    <w:rsid w:val="4E937763"/>
    <w:rsid w:val="4E991182"/>
    <w:rsid w:val="4E9E5BA9"/>
    <w:rsid w:val="4E9F5613"/>
    <w:rsid w:val="4EA9172F"/>
    <w:rsid w:val="4EAB059E"/>
    <w:rsid w:val="4EAC241A"/>
    <w:rsid w:val="4EB67945"/>
    <w:rsid w:val="4EB97B53"/>
    <w:rsid w:val="4EC420B9"/>
    <w:rsid w:val="4EC7492C"/>
    <w:rsid w:val="4ECA2CB3"/>
    <w:rsid w:val="4ECD7B05"/>
    <w:rsid w:val="4ED32EBD"/>
    <w:rsid w:val="4EE17B77"/>
    <w:rsid w:val="4EE44103"/>
    <w:rsid w:val="4EE61722"/>
    <w:rsid w:val="4EE86D63"/>
    <w:rsid w:val="4EEA5D88"/>
    <w:rsid w:val="4EEC3838"/>
    <w:rsid w:val="4EEE11A3"/>
    <w:rsid w:val="4EF07E6E"/>
    <w:rsid w:val="4EFA68DB"/>
    <w:rsid w:val="4EFC390E"/>
    <w:rsid w:val="4EFE4EC2"/>
    <w:rsid w:val="4EFE6975"/>
    <w:rsid w:val="4EFF3444"/>
    <w:rsid w:val="4F037BFA"/>
    <w:rsid w:val="4F0441E5"/>
    <w:rsid w:val="4F0F1D99"/>
    <w:rsid w:val="4F155F27"/>
    <w:rsid w:val="4F16131E"/>
    <w:rsid w:val="4F181305"/>
    <w:rsid w:val="4F1A238F"/>
    <w:rsid w:val="4F1D1653"/>
    <w:rsid w:val="4F1F1E6B"/>
    <w:rsid w:val="4F2C365D"/>
    <w:rsid w:val="4F36758C"/>
    <w:rsid w:val="4F376D93"/>
    <w:rsid w:val="4F3957DF"/>
    <w:rsid w:val="4F3D4163"/>
    <w:rsid w:val="4F50208E"/>
    <w:rsid w:val="4F511BAF"/>
    <w:rsid w:val="4F560A53"/>
    <w:rsid w:val="4F611147"/>
    <w:rsid w:val="4F6E6F86"/>
    <w:rsid w:val="4F7278C6"/>
    <w:rsid w:val="4F764CC2"/>
    <w:rsid w:val="4F823D55"/>
    <w:rsid w:val="4F85034E"/>
    <w:rsid w:val="4F8749DE"/>
    <w:rsid w:val="4F8B54DD"/>
    <w:rsid w:val="4F9000F4"/>
    <w:rsid w:val="4F983E33"/>
    <w:rsid w:val="4F997613"/>
    <w:rsid w:val="4F9B5328"/>
    <w:rsid w:val="4FAB2D3A"/>
    <w:rsid w:val="4FAB3627"/>
    <w:rsid w:val="4FAB7893"/>
    <w:rsid w:val="4FB204D9"/>
    <w:rsid w:val="4FB40C2C"/>
    <w:rsid w:val="4FB824BC"/>
    <w:rsid w:val="4FB83AA6"/>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56FA7"/>
    <w:rsid w:val="4FE9598E"/>
    <w:rsid w:val="4FE95A21"/>
    <w:rsid w:val="4FF5506D"/>
    <w:rsid w:val="4FFE1157"/>
    <w:rsid w:val="4FFF3806"/>
    <w:rsid w:val="4FFF49BB"/>
    <w:rsid w:val="5004344D"/>
    <w:rsid w:val="50046739"/>
    <w:rsid w:val="50054AB7"/>
    <w:rsid w:val="50095827"/>
    <w:rsid w:val="50100572"/>
    <w:rsid w:val="5014542B"/>
    <w:rsid w:val="50167359"/>
    <w:rsid w:val="50186BF6"/>
    <w:rsid w:val="501B08FF"/>
    <w:rsid w:val="501E344A"/>
    <w:rsid w:val="502751AB"/>
    <w:rsid w:val="502C4247"/>
    <w:rsid w:val="502D25A0"/>
    <w:rsid w:val="502D660A"/>
    <w:rsid w:val="50347D28"/>
    <w:rsid w:val="50363B3A"/>
    <w:rsid w:val="50384FDC"/>
    <w:rsid w:val="503D2073"/>
    <w:rsid w:val="503D5373"/>
    <w:rsid w:val="503E4F3A"/>
    <w:rsid w:val="504261AC"/>
    <w:rsid w:val="504311C0"/>
    <w:rsid w:val="50435189"/>
    <w:rsid w:val="50461396"/>
    <w:rsid w:val="504B1149"/>
    <w:rsid w:val="504B5456"/>
    <w:rsid w:val="5052029B"/>
    <w:rsid w:val="505B70B4"/>
    <w:rsid w:val="505F1426"/>
    <w:rsid w:val="506309DB"/>
    <w:rsid w:val="506762BF"/>
    <w:rsid w:val="50752AF6"/>
    <w:rsid w:val="50771C00"/>
    <w:rsid w:val="507B5688"/>
    <w:rsid w:val="508A668E"/>
    <w:rsid w:val="509A3231"/>
    <w:rsid w:val="509C736A"/>
    <w:rsid w:val="509D24F5"/>
    <w:rsid w:val="50A27585"/>
    <w:rsid w:val="50AC0B91"/>
    <w:rsid w:val="50AF1C59"/>
    <w:rsid w:val="50B139BD"/>
    <w:rsid w:val="50B72BFD"/>
    <w:rsid w:val="50B92297"/>
    <w:rsid w:val="50BD1498"/>
    <w:rsid w:val="50BE1B1D"/>
    <w:rsid w:val="50BE494F"/>
    <w:rsid w:val="50C2785E"/>
    <w:rsid w:val="50C371C0"/>
    <w:rsid w:val="50C51F05"/>
    <w:rsid w:val="50C65C4E"/>
    <w:rsid w:val="50C65E30"/>
    <w:rsid w:val="50C668B2"/>
    <w:rsid w:val="50C75F36"/>
    <w:rsid w:val="50D228CF"/>
    <w:rsid w:val="50D26D66"/>
    <w:rsid w:val="50E63519"/>
    <w:rsid w:val="50ED76FB"/>
    <w:rsid w:val="50F568D9"/>
    <w:rsid w:val="50F70BD7"/>
    <w:rsid w:val="50FD2A03"/>
    <w:rsid w:val="51020E71"/>
    <w:rsid w:val="510D4A1E"/>
    <w:rsid w:val="51184E6D"/>
    <w:rsid w:val="51187610"/>
    <w:rsid w:val="511C491F"/>
    <w:rsid w:val="51234937"/>
    <w:rsid w:val="512B350B"/>
    <w:rsid w:val="513571BD"/>
    <w:rsid w:val="51375EB3"/>
    <w:rsid w:val="513853CC"/>
    <w:rsid w:val="51392D77"/>
    <w:rsid w:val="513B1A3D"/>
    <w:rsid w:val="513D483E"/>
    <w:rsid w:val="513F081D"/>
    <w:rsid w:val="51407DA2"/>
    <w:rsid w:val="514C1E16"/>
    <w:rsid w:val="514F0A29"/>
    <w:rsid w:val="51522A1E"/>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B693D"/>
    <w:rsid w:val="519D2F03"/>
    <w:rsid w:val="51AA27FB"/>
    <w:rsid w:val="51AB0562"/>
    <w:rsid w:val="51AB52BE"/>
    <w:rsid w:val="51AD6F40"/>
    <w:rsid w:val="51AE5103"/>
    <w:rsid w:val="51AE5AD5"/>
    <w:rsid w:val="51B84B91"/>
    <w:rsid w:val="51B92776"/>
    <w:rsid w:val="51BA2C30"/>
    <w:rsid w:val="51BE2EAE"/>
    <w:rsid w:val="51C01DAA"/>
    <w:rsid w:val="51C0716E"/>
    <w:rsid w:val="51C24631"/>
    <w:rsid w:val="51D42177"/>
    <w:rsid w:val="51D43598"/>
    <w:rsid w:val="51DA51E8"/>
    <w:rsid w:val="51DA5890"/>
    <w:rsid w:val="51E90CD5"/>
    <w:rsid w:val="51EE7B3E"/>
    <w:rsid w:val="51F51BD1"/>
    <w:rsid w:val="51F73F86"/>
    <w:rsid w:val="51F96848"/>
    <w:rsid w:val="51FB40B5"/>
    <w:rsid w:val="51FD5880"/>
    <w:rsid w:val="52073487"/>
    <w:rsid w:val="520A7B89"/>
    <w:rsid w:val="520E648E"/>
    <w:rsid w:val="521C5D43"/>
    <w:rsid w:val="521D7ED7"/>
    <w:rsid w:val="522501D7"/>
    <w:rsid w:val="52257DA4"/>
    <w:rsid w:val="52264B1D"/>
    <w:rsid w:val="52267D3C"/>
    <w:rsid w:val="52317E52"/>
    <w:rsid w:val="52325EE7"/>
    <w:rsid w:val="5239194F"/>
    <w:rsid w:val="524D342E"/>
    <w:rsid w:val="524E54BD"/>
    <w:rsid w:val="5257696B"/>
    <w:rsid w:val="52591ADC"/>
    <w:rsid w:val="525D4BC4"/>
    <w:rsid w:val="52612620"/>
    <w:rsid w:val="52626079"/>
    <w:rsid w:val="526325FA"/>
    <w:rsid w:val="526478E1"/>
    <w:rsid w:val="526639CC"/>
    <w:rsid w:val="526A1A2F"/>
    <w:rsid w:val="526A546C"/>
    <w:rsid w:val="52790FD9"/>
    <w:rsid w:val="52887A7D"/>
    <w:rsid w:val="52894DE6"/>
    <w:rsid w:val="528C5E23"/>
    <w:rsid w:val="528D1034"/>
    <w:rsid w:val="52993DA6"/>
    <w:rsid w:val="529B5EE8"/>
    <w:rsid w:val="529F0D9B"/>
    <w:rsid w:val="529F5E7F"/>
    <w:rsid w:val="52BC0926"/>
    <w:rsid w:val="52CA3D8F"/>
    <w:rsid w:val="52CD1409"/>
    <w:rsid w:val="52CD21D8"/>
    <w:rsid w:val="52CF0A4A"/>
    <w:rsid w:val="52CF3CD6"/>
    <w:rsid w:val="52D415CD"/>
    <w:rsid w:val="52DA2383"/>
    <w:rsid w:val="52DC66BA"/>
    <w:rsid w:val="52DC7C0E"/>
    <w:rsid w:val="52DD5B35"/>
    <w:rsid w:val="52DE6D3F"/>
    <w:rsid w:val="52DF42EC"/>
    <w:rsid w:val="52E427EA"/>
    <w:rsid w:val="52EB52A5"/>
    <w:rsid w:val="52EE154F"/>
    <w:rsid w:val="52EF0051"/>
    <w:rsid w:val="52F24426"/>
    <w:rsid w:val="52FC1C88"/>
    <w:rsid w:val="5303259D"/>
    <w:rsid w:val="53047263"/>
    <w:rsid w:val="5306702F"/>
    <w:rsid w:val="53112C1D"/>
    <w:rsid w:val="531241BA"/>
    <w:rsid w:val="53155215"/>
    <w:rsid w:val="531621BA"/>
    <w:rsid w:val="531A36B6"/>
    <w:rsid w:val="531D0F10"/>
    <w:rsid w:val="531F21EF"/>
    <w:rsid w:val="531F532A"/>
    <w:rsid w:val="531F71D4"/>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545F5"/>
    <w:rsid w:val="53760194"/>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056A7"/>
    <w:rsid w:val="53B85768"/>
    <w:rsid w:val="53BB51C6"/>
    <w:rsid w:val="53BD2750"/>
    <w:rsid w:val="53BE1FB8"/>
    <w:rsid w:val="53C34D17"/>
    <w:rsid w:val="53C40B3B"/>
    <w:rsid w:val="53C817A7"/>
    <w:rsid w:val="53C877C6"/>
    <w:rsid w:val="53C8788D"/>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0F6177"/>
    <w:rsid w:val="541942B6"/>
    <w:rsid w:val="541A0123"/>
    <w:rsid w:val="541A3E14"/>
    <w:rsid w:val="541A40BD"/>
    <w:rsid w:val="541F38E3"/>
    <w:rsid w:val="542A1803"/>
    <w:rsid w:val="542A3FEF"/>
    <w:rsid w:val="542A5504"/>
    <w:rsid w:val="542F7A60"/>
    <w:rsid w:val="54326928"/>
    <w:rsid w:val="54346136"/>
    <w:rsid w:val="543640EE"/>
    <w:rsid w:val="5438183D"/>
    <w:rsid w:val="544D14DF"/>
    <w:rsid w:val="54525BFB"/>
    <w:rsid w:val="5452765B"/>
    <w:rsid w:val="54532953"/>
    <w:rsid w:val="545333E8"/>
    <w:rsid w:val="54550067"/>
    <w:rsid w:val="54580F5A"/>
    <w:rsid w:val="545D3E4A"/>
    <w:rsid w:val="54757648"/>
    <w:rsid w:val="5478695B"/>
    <w:rsid w:val="54805F39"/>
    <w:rsid w:val="54860559"/>
    <w:rsid w:val="548810E8"/>
    <w:rsid w:val="548D69F5"/>
    <w:rsid w:val="54906088"/>
    <w:rsid w:val="54907EF0"/>
    <w:rsid w:val="549438A5"/>
    <w:rsid w:val="549611A6"/>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CF4C90"/>
    <w:rsid w:val="54DF688B"/>
    <w:rsid w:val="54E337DD"/>
    <w:rsid w:val="54E85E2E"/>
    <w:rsid w:val="54E95643"/>
    <w:rsid w:val="550E6C32"/>
    <w:rsid w:val="55156991"/>
    <w:rsid w:val="551C2E90"/>
    <w:rsid w:val="552007B9"/>
    <w:rsid w:val="552D52C7"/>
    <w:rsid w:val="55397CF2"/>
    <w:rsid w:val="5546565D"/>
    <w:rsid w:val="554E0863"/>
    <w:rsid w:val="555737A6"/>
    <w:rsid w:val="55577AFF"/>
    <w:rsid w:val="55597711"/>
    <w:rsid w:val="55611FED"/>
    <w:rsid w:val="55635CE5"/>
    <w:rsid w:val="556C1CC4"/>
    <w:rsid w:val="55712540"/>
    <w:rsid w:val="55731953"/>
    <w:rsid w:val="55743D64"/>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BC2BC7"/>
    <w:rsid w:val="55C0140E"/>
    <w:rsid w:val="55C07EE4"/>
    <w:rsid w:val="55C305A6"/>
    <w:rsid w:val="55C51E8F"/>
    <w:rsid w:val="55C529C2"/>
    <w:rsid w:val="55CA644D"/>
    <w:rsid w:val="55CC27C2"/>
    <w:rsid w:val="55CC4541"/>
    <w:rsid w:val="55CF48E7"/>
    <w:rsid w:val="55D0342A"/>
    <w:rsid w:val="55D3385E"/>
    <w:rsid w:val="55D50C9C"/>
    <w:rsid w:val="55D849A1"/>
    <w:rsid w:val="55E31A15"/>
    <w:rsid w:val="55E5367A"/>
    <w:rsid w:val="55E83D2F"/>
    <w:rsid w:val="55F37542"/>
    <w:rsid w:val="55FB19D4"/>
    <w:rsid w:val="55FE6BCF"/>
    <w:rsid w:val="56017EDE"/>
    <w:rsid w:val="56027E43"/>
    <w:rsid w:val="56030BD3"/>
    <w:rsid w:val="560469FC"/>
    <w:rsid w:val="5609174E"/>
    <w:rsid w:val="561036D3"/>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24B26"/>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95ABB"/>
    <w:rsid w:val="56AB6535"/>
    <w:rsid w:val="56AD02E2"/>
    <w:rsid w:val="56AD339E"/>
    <w:rsid w:val="56AE2AEE"/>
    <w:rsid w:val="56B0619F"/>
    <w:rsid w:val="56B16CBD"/>
    <w:rsid w:val="56B3450E"/>
    <w:rsid w:val="56B96F66"/>
    <w:rsid w:val="56BE75C0"/>
    <w:rsid w:val="56C00361"/>
    <w:rsid w:val="56C12AE4"/>
    <w:rsid w:val="56C47B3E"/>
    <w:rsid w:val="56C71CAD"/>
    <w:rsid w:val="56CB6227"/>
    <w:rsid w:val="56CE5F20"/>
    <w:rsid w:val="56D1338D"/>
    <w:rsid w:val="56D31AC8"/>
    <w:rsid w:val="56DA3EBA"/>
    <w:rsid w:val="56DE40C5"/>
    <w:rsid w:val="56E33383"/>
    <w:rsid w:val="56E33EB3"/>
    <w:rsid w:val="56E81DBE"/>
    <w:rsid w:val="56EA65D6"/>
    <w:rsid w:val="56ED5E03"/>
    <w:rsid w:val="56F56500"/>
    <w:rsid w:val="56FB0134"/>
    <w:rsid w:val="56FC2728"/>
    <w:rsid w:val="56FD401A"/>
    <w:rsid w:val="57012351"/>
    <w:rsid w:val="57095761"/>
    <w:rsid w:val="571777C3"/>
    <w:rsid w:val="571B1F7E"/>
    <w:rsid w:val="571D34AC"/>
    <w:rsid w:val="571F270E"/>
    <w:rsid w:val="57284B98"/>
    <w:rsid w:val="57292292"/>
    <w:rsid w:val="572C2443"/>
    <w:rsid w:val="572E4793"/>
    <w:rsid w:val="572E7E52"/>
    <w:rsid w:val="57315E6B"/>
    <w:rsid w:val="57332F0F"/>
    <w:rsid w:val="573403E6"/>
    <w:rsid w:val="573459F0"/>
    <w:rsid w:val="573B3910"/>
    <w:rsid w:val="574460A0"/>
    <w:rsid w:val="57484376"/>
    <w:rsid w:val="574B4B12"/>
    <w:rsid w:val="575425F9"/>
    <w:rsid w:val="575430BB"/>
    <w:rsid w:val="575A2017"/>
    <w:rsid w:val="575C5FBB"/>
    <w:rsid w:val="57685F5D"/>
    <w:rsid w:val="576923DC"/>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E07FF"/>
    <w:rsid w:val="57AF7168"/>
    <w:rsid w:val="57B02763"/>
    <w:rsid w:val="57B256A6"/>
    <w:rsid w:val="57B6547E"/>
    <w:rsid w:val="57BC7C9C"/>
    <w:rsid w:val="57BF6387"/>
    <w:rsid w:val="57C77A65"/>
    <w:rsid w:val="57D01AAC"/>
    <w:rsid w:val="57D1117F"/>
    <w:rsid w:val="57DA0D38"/>
    <w:rsid w:val="57DD4E33"/>
    <w:rsid w:val="57DE0A52"/>
    <w:rsid w:val="57DF6500"/>
    <w:rsid w:val="57E01CF0"/>
    <w:rsid w:val="57E143B6"/>
    <w:rsid w:val="57E60B9B"/>
    <w:rsid w:val="57E73B61"/>
    <w:rsid w:val="57F01737"/>
    <w:rsid w:val="57F316B2"/>
    <w:rsid w:val="57F73696"/>
    <w:rsid w:val="57FA3FC4"/>
    <w:rsid w:val="58005923"/>
    <w:rsid w:val="5803475B"/>
    <w:rsid w:val="580A3BD6"/>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85ECA"/>
    <w:rsid w:val="584C65D6"/>
    <w:rsid w:val="58514445"/>
    <w:rsid w:val="58563BF0"/>
    <w:rsid w:val="58590DD2"/>
    <w:rsid w:val="585C4726"/>
    <w:rsid w:val="585F5977"/>
    <w:rsid w:val="5863473D"/>
    <w:rsid w:val="586C2A31"/>
    <w:rsid w:val="586E1447"/>
    <w:rsid w:val="58766ECF"/>
    <w:rsid w:val="5878285F"/>
    <w:rsid w:val="58785165"/>
    <w:rsid w:val="587E2D46"/>
    <w:rsid w:val="588509DD"/>
    <w:rsid w:val="588A3951"/>
    <w:rsid w:val="588A53E5"/>
    <w:rsid w:val="588D555E"/>
    <w:rsid w:val="58937684"/>
    <w:rsid w:val="58953B9F"/>
    <w:rsid w:val="58957A8C"/>
    <w:rsid w:val="589B75A6"/>
    <w:rsid w:val="589C0BA1"/>
    <w:rsid w:val="589F18E4"/>
    <w:rsid w:val="58A26665"/>
    <w:rsid w:val="58A948C8"/>
    <w:rsid w:val="58B156C4"/>
    <w:rsid w:val="58B3713C"/>
    <w:rsid w:val="58B5179E"/>
    <w:rsid w:val="58B80220"/>
    <w:rsid w:val="58B8443B"/>
    <w:rsid w:val="58B92428"/>
    <w:rsid w:val="58BC4002"/>
    <w:rsid w:val="58C47A68"/>
    <w:rsid w:val="58C6178A"/>
    <w:rsid w:val="58C64F01"/>
    <w:rsid w:val="58D720A4"/>
    <w:rsid w:val="58DB456A"/>
    <w:rsid w:val="58E56245"/>
    <w:rsid w:val="58E909DD"/>
    <w:rsid w:val="58EB1C90"/>
    <w:rsid w:val="58EE536D"/>
    <w:rsid w:val="58F57D12"/>
    <w:rsid w:val="59094784"/>
    <w:rsid w:val="590B04C8"/>
    <w:rsid w:val="59255E05"/>
    <w:rsid w:val="59267EF0"/>
    <w:rsid w:val="59287A6A"/>
    <w:rsid w:val="592C2EB2"/>
    <w:rsid w:val="59376E4C"/>
    <w:rsid w:val="593812BB"/>
    <w:rsid w:val="59385559"/>
    <w:rsid w:val="593F73A8"/>
    <w:rsid w:val="59421F7E"/>
    <w:rsid w:val="59424509"/>
    <w:rsid w:val="594935F2"/>
    <w:rsid w:val="594C2750"/>
    <w:rsid w:val="594D49D5"/>
    <w:rsid w:val="59595860"/>
    <w:rsid w:val="595C0946"/>
    <w:rsid w:val="59604A5E"/>
    <w:rsid w:val="59642A7A"/>
    <w:rsid w:val="59655357"/>
    <w:rsid w:val="596957AE"/>
    <w:rsid w:val="596A7545"/>
    <w:rsid w:val="596D32B4"/>
    <w:rsid w:val="596F5485"/>
    <w:rsid w:val="5974082A"/>
    <w:rsid w:val="59774D3E"/>
    <w:rsid w:val="597C00C4"/>
    <w:rsid w:val="598635D7"/>
    <w:rsid w:val="598C779E"/>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B7EFC"/>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13DE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C29"/>
    <w:rsid w:val="5A5C7772"/>
    <w:rsid w:val="5A6169CB"/>
    <w:rsid w:val="5A6336A1"/>
    <w:rsid w:val="5A65704E"/>
    <w:rsid w:val="5A6B7C88"/>
    <w:rsid w:val="5A6C6716"/>
    <w:rsid w:val="5A6F5AD1"/>
    <w:rsid w:val="5A73612A"/>
    <w:rsid w:val="5A784E1A"/>
    <w:rsid w:val="5A7F6F98"/>
    <w:rsid w:val="5A802C08"/>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B12BB"/>
    <w:rsid w:val="5AF341EB"/>
    <w:rsid w:val="5AF405C5"/>
    <w:rsid w:val="5AF82FCA"/>
    <w:rsid w:val="5AF8657A"/>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940F5"/>
    <w:rsid w:val="5B9C0984"/>
    <w:rsid w:val="5B9D5FB0"/>
    <w:rsid w:val="5BA036A0"/>
    <w:rsid w:val="5BA65080"/>
    <w:rsid w:val="5BA76A78"/>
    <w:rsid w:val="5BB214B7"/>
    <w:rsid w:val="5BB424C4"/>
    <w:rsid w:val="5BB513BD"/>
    <w:rsid w:val="5BB576AD"/>
    <w:rsid w:val="5BB6242D"/>
    <w:rsid w:val="5BB74E83"/>
    <w:rsid w:val="5BB76EBD"/>
    <w:rsid w:val="5BBD24BF"/>
    <w:rsid w:val="5BBE6EBD"/>
    <w:rsid w:val="5BC02787"/>
    <w:rsid w:val="5BC52B9A"/>
    <w:rsid w:val="5BCD45FD"/>
    <w:rsid w:val="5BCD6158"/>
    <w:rsid w:val="5BD41880"/>
    <w:rsid w:val="5BD627D7"/>
    <w:rsid w:val="5BD70683"/>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243DF6"/>
    <w:rsid w:val="5C3B2DCF"/>
    <w:rsid w:val="5C473312"/>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61D8"/>
    <w:rsid w:val="5CA15C9A"/>
    <w:rsid w:val="5CA57043"/>
    <w:rsid w:val="5CA62CEF"/>
    <w:rsid w:val="5CB157B0"/>
    <w:rsid w:val="5CBF4297"/>
    <w:rsid w:val="5CC43404"/>
    <w:rsid w:val="5CC93DAE"/>
    <w:rsid w:val="5CCF7073"/>
    <w:rsid w:val="5CD31EE3"/>
    <w:rsid w:val="5CD32C39"/>
    <w:rsid w:val="5CD774F9"/>
    <w:rsid w:val="5CE03F3E"/>
    <w:rsid w:val="5CE1654F"/>
    <w:rsid w:val="5CE47CF9"/>
    <w:rsid w:val="5CEB1D70"/>
    <w:rsid w:val="5CF45558"/>
    <w:rsid w:val="5CF70E19"/>
    <w:rsid w:val="5CFB7A99"/>
    <w:rsid w:val="5D00730C"/>
    <w:rsid w:val="5D007581"/>
    <w:rsid w:val="5D072BC8"/>
    <w:rsid w:val="5D076525"/>
    <w:rsid w:val="5D0A1E58"/>
    <w:rsid w:val="5D0A3A75"/>
    <w:rsid w:val="5D0C1CFA"/>
    <w:rsid w:val="5D19384D"/>
    <w:rsid w:val="5D22473A"/>
    <w:rsid w:val="5D237B4C"/>
    <w:rsid w:val="5D2B5629"/>
    <w:rsid w:val="5D301CD3"/>
    <w:rsid w:val="5D315CEB"/>
    <w:rsid w:val="5D326462"/>
    <w:rsid w:val="5D3926A3"/>
    <w:rsid w:val="5D3B59DF"/>
    <w:rsid w:val="5D3C04A3"/>
    <w:rsid w:val="5D3C59F3"/>
    <w:rsid w:val="5D473075"/>
    <w:rsid w:val="5D475E41"/>
    <w:rsid w:val="5D4822EE"/>
    <w:rsid w:val="5D4C5595"/>
    <w:rsid w:val="5D4E75BC"/>
    <w:rsid w:val="5D5864DB"/>
    <w:rsid w:val="5D6F03C1"/>
    <w:rsid w:val="5D702EEF"/>
    <w:rsid w:val="5D73393B"/>
    <w:rsid w:val="5D754200"/>
    <w:rsid w:val="5D76353B"/>
    <w:rsid w:val="5D77731A"/>
    <w:rsid w:val="5D784379"/>
    <w:rsid w:val="5D7B3457"/>
    <w:rsid w:val="5D7B4A8E"/>
    <w:rsid w:val="5D820C77"/>
    <w:rsid w:val="5D826C13"/>
    <w:rsid w:val="5D8428C5"/>
    <w:rsid w:val="5D8B2715"/>
    <w:rsid w:val="5D8D250E"/>
    <w:rsid w:val="5D8D5687"/>
    <w:rsid w:val="5D8F399C"/>
    <w:rsid w:val="5D8F6111"/>
    <w:rsid w:val="5D915AFD"/>
    <w:rsid w:val="5D9404A9"/>
    <w:rsid w:val="5D963852"/>
    <w:rsid w:val="5D984F49"/>
    <w:rsid w:val="5D9A23F4"/>
    <w:rsid w:val="5D9F6617"/>
    <w:rsid w:val="5D9F7C74"/>
    <w:rsid w:val="5DAE2E8C"/>
    <w:rsid w:val="5DAE7F34"/>
    <w:rsid w:val="5DB42E5D"/>
    <w:rsid w:val="5DB65502"/>
    <w:rsid w:val="5DB906BB"/>
    <w:rsid w:val="5DBF5936"/>
    <w:rsid w:val="5DC41A63"/>
    <w:rsid w:val="5DD70750"/>
    <w:rsid w:val="5DE44DF4"/>
    <w:rsid w:val="5DE87013"/>
    <w:rsid w:val="5DED4540"/>
    <w:rsid w:val="5E00720B"/>
    <w:rsid w:val="5E012896"/>
    <w:rsid w:val="5E0825B2"/>
    <w:rsid w:val="5E0A6049"/>
    <w:rsid w:val="5E0D77FC"/>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75EF8"/>
    <w:rsid w:val="5E680BE8"/>
    <w:rsid w:val="5E6B7FF0"/>
    <w:rsid w:val="5E783202"/>
    <w:rsid w:val="5E7842EE"/>
    <w:rsid w:val="5E7A1A68"/>
    <w:rsid w:val="5E803D55"/>
    <w:rsid w:val="5E854DAE"/>
    <w:rsid w:val="5E88203D"/>
    <w:rsid w:val="5EA36A9B"/>
    <w:rsid w:val="5EA42C37"/>
    <w:rsid w:val="5EA648E2"/>
    <w:rsid w:val="5EA71C01"/>
    <w:rsid w:val="5EAF1BF9"/>
    <w:rsid w:val="5EB24CFE"/>
    <w:rsid w:val="5EB32415"/>
    <w:rsid w:val="5EB40BE5"/>
    <w:rsid w:val="5EB52E6F"/>
    <w:rsid w:val="5EBC24CA"/>
    <w:rsid w:val="5EC37A1E"/>
    <w:rsid w:val="5EC94A60"/>
    <w:rsid w:val="5ED95EEE"/>
    <w:rsid w:val="5EE14BF7"/>
    <w:rsid w:val="5EE36FBA"/>
    <w:rsid w:val="5EE55DDE"/>
    <w:rsid w:val="5EF04AC4"/>
    <w:rsid w:val="5EF47473"/>
    <w:rsid w:val="5EFE064F"/>
    <w:rsid w:val="5F061DE5"/>
    <w:rsid w:val="5F09081F"/>
    <w:rsid w:val="5F0B5BA1"/>
    <w:rsid w:val="5F1111AD"/>
    <w:rsid w:val="5F121A0D"/>
    <w:rsid w:val="5F1B27DE"/>
    <w:rsid w:val="5F1F10B8"/>
    <w:rsid w:val="5F243C26"/>
    <w:rsid w:val="5F2B4891"/>
    <w:rsid w:val="5F2C64A1"/>
    <w:rsid w:val="5F3833DE"/>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5C0449"/>
    <w:rsid w:val="5F6028D5"/>
    <w:rsid w:val="5F61415F"/>
    <w:rsid w:val="5F6154BC"/>
    <w:rsid w:val="5F646936"/>
    <w:rsid w:val="5F7202DD"/>
    <w:rsid w:val="5F724D0A"/>
    <w:rsid w:val="5F7602E5"/>
    <w:rsid w:val="5F764A5E"/>
    <w:rsid w:val="5F796D8B"/>
    <w:rsid w:val="5F7D66DE"/>
    <w:rsid w:val="5F810033"/>
    <w:rsid w:val="5F844DC9"/>
    <w:rsid w:val="5F8806B8"/>
    <w:rsid w:val="5F8B53D4"/>
    <w:rsid w:val="5F8C1416"/>
    <w:rsid w:val="5F8C52DB"/>
    <w:rsid w:val="5F8D7479"/>
    <w:rsid w:val="5F8E4E13"/>
    <w:rsid w:val="5F9005B9"/>
    <w:rsid w:val="5F9175F2"/>
    <w:rsid w:val="5F9654CD"/>
    <w:rsid w:val="5F966692"/>
    <w:rsid w:val="5F99467F"/>
    <w:rsid w:val="5FA00A10"/>
    <w:rsid w:val="5FA4374A"/>
    <w:rsid w:val="5FA4380A"/>
    <w:rsid w:val="5FA4668F"/>
    <w:rsid w:val="5FA5501A"/>
    <w:rsid w:val="5FAB674F"/>
    <w:rsid w:val="5FB25387"/>
    <w:rsid w:val="5FB300D5"/>
    <w:rsid w:val="5FB32FCA"/>
    <w:rsid w:val="5FBF3440"/>
    <w:rsid w:val="5FC53509"/>
    <w:rsid w:val="5FCB20E8"/>
    <w:rsid w:val="5FCC5D9F"/>
    <w:rsid w:val="5FD20829"/>
    <w:rsid w:val="5FD526EA"/>
    <w:rsid w:val="5FDA515F"/>
    <w:rsid w:val="5FE652C4"/>
    <w:rsid w:val="5FE73834"/>
    <w:rsid w:val="5FEB0680"/>
    <w:rsid w:val="5FF13C96"/>
    <w:rsid w:val="5FF744A9"/>
    <w:rsid w:val="5FF76947"/>
    <w:rsid w:val="5FFB17C7"/>
    <w:rsid w:val="5FFE6C22"/>
    <w:rsid w:val="60000309"/>
    <w:rsid w:val="600B6B90"/>
    <w:rsid w:val="600C3224"/>
    <w:rsid w:val="600F6605"/>
    <w:rsid w:val="60143AD3"/>
    <w:rsid w:val="60281FCD"/>
    <w:rsid w:val="602876AC"/>
    <w:rsid w:val="602D6A03"/>
    <w:rsid w:val="603215F4"/>
    <w:rsid w:val="603771DA"/>
    <w:rsid w:val="603E61ED"/>
    <w:rsid w:val="60447E31"/>
    <w:rsid w:val="604C5236"/>
    <w:rsid w:val="605006BC"/>
    <w:rsid w:val="60584E5C"/>
    <w:rsid w:val="6058575B"/>
    <w:rsid w:val="606162D0"/>
    <w:rsid w:val="60674769"/>
    <w:rsid w:val="606F545C"/>
    <w:rsid w:val="607079E9"/>
    <w:rsid w:val="60734371"/>
    <w:rsid w:val="607761FD"/>
    <w:rsid w:val="60830460"/>
    <w:rsid w:val="6085543E"/>
    <w:rsid w:val="60856987"/>
    <w:rsid w:val="608A68B0"/>
    <w:rsid w:val="608B5C80"/>
    <w:rsid w:val="60907882"/>
    <w:rsid w:val="609258F0"/>
    <w:rsid w:val="6093287A"/>
    <w:rsid w:val="609517E9"/>
    <w:rsid w:val="609A2B73"/>
    <w:rsid w:val="609E39EC"/>
    <w:rsid w:val="609F1E8C"/>
    <w:rsid w:val="60A0440C"/>
    <w:rsid w:val="60AF5068"/>
    <w:rsid w:val="60B71C66"/>
    <w:rsid w:val="60B77B1A"/>
    <w:rsid w:val="60BA0952"/>
    <w:rsid w:val="60BD0F4B"/>
    <w:rsid w:val="60C02A5F"/>
    <w:rsid w:val="60C03CB2"/>
    <w:rsid w:val="60C43BAB"/>
    <w:rsid w:val="60C5483E"/>
    <w:rsid w:val="60C566E2"/>
    <w:rsid w:val="60C8473F"/>
    <w:rsid w:val="60C867C5"/>
    <w:rsid w:val="60C87963"/>
    <w:rsid w:val="60D3354A"/>
    <w:rsid w:val="60D4561F"/>
    <w:rsid w:val="60D67E78"/>
    <w:rsid w:val="60DB0800"/>
    <w:rsid w:val="60DE0DB6"/>
    <w:rsid w:val="60E01095"/>
    <w:rsid w:val="60E25F60"/>
    <w:rsid w:val="60E506DB"/>
    <w:rsid w:val="60E50AB6"/>
    <w:rsid w:val="60E54273"/>
    <w:rsid w:val="60E62D95"/>
    <w:rsid w:val="60F46839"/>
    <w:rsid w:val="60FB57BE"/>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94648"/>
    <w:rsid w:val="616B25D0"/>
    <w:rsid w:val="616C1663"/>
    <w:rsid w:val="616E223F"/>
    <w:rsid w:val="617305C5"/>
    <w:rsid w:val="61751F59"/>
    <w:rsid w:val="61773E1B"/>
    <w:rsid w:val="617915C1"/>
    <w:rsid w:val="617C28AF"/>
    <w:rsid w:val="61843F91"/>
    <w:rsid w:val="618520A4"/>
    <w:rsid w:val="618A6058"/>
    <w:rsid w:val="619321E0"/>
    <w:rsid w:val="61963257"/>
    <w:rsid w:val="6196670E"/>
    <w:rsid w:val="61972737"/>
    <w:rsid w:val="619C01E2"/>
    <w:rsid w:val="619C38B4"/>
    <w:rsid w:val="61A11A3C"/>
    <w:rsid w:val="61A4486B"/>
    <w:rsid w:val="61AC5090"/>
    <w:rsid w:val="61B33DDF"/>
    <w:rsid w:val="61BB4A1B"/>
    <w:rsid w:val="61BB5A23"/>
    <w:rsid w:val="61BC23E5"/>
    <w:rsid w:val="61C051B3"/>
    <w:rsid w:val="61C66FD8"/>
    <w:rsid w:val="61C67CD5"/>
    <w:rsid w:val="61CD3107"/>
    <w:rsid w:val="61D17319"/>
    <w:rsid w:val="61D21120"/>
    <w:rsid w:val="61D64F2E"/>
    <w:rsid w:val="61D75E5D"/>
    <w:rsid w:val="61E728F9"/>
    <w:rsid w:val="61F3667F"/>
    <w:rsid w:val="61F43F82"/>
    <w:rsid w:val="61F67369"/>
    <w:rsid w:val="61FB110C"/>
    <w:rsid w:val="61FB56BF"/>
    <w:rsid w:val="62066DD3"/>
    <w:rsid w:val="620B2B74"/>
    <w:rsid w:val="620B4882"/>
    <w:rsid w:val="6210415F"/>
    <w:rsid w:val="62185165"/>
    <w:rsid w:val="621D66D4"/>
    <w:rsid w:val="62220209"/>
    <w:rsid w:val="622D780A"/>
    <w:rsid w:val="622E2CF4"/>
    <w:rsid w:val="622F5ABF"/>
    <w:rsid w:val="623D0C68"/>
    <w:rsid w:val="62460FCD"/>
    <w:rsid w:val="62480FF0"/>
    <w:rsid w:val="62483088"/>
    <w:rsid w:val="624B14C1"/>
    <w:rsid w:val="624B7C94"/>
    <w:rsid w:val="624C02FE"/>
    <w:rsid w:val="624C289D"/>
    <w:rsid w:val="624F0394"/>
    <w:rsid w:val="62590ABF"/>
    <w:rsid w:val="625A29D8"/>
    <w:rsid w:val="625B2CDA"/>
    <w:rsid w:val="625B47C2"/>
    <w:rsid w:val="625B79FF"/>
    <w:rsid w:val="625F6E6C"/>
    <w:rsid w:val="626207F5"/>
    <w:rsid w:val="62624625"/>
    <w:rsid w:val="62630C6B"/>
    <w:rsid w:val="626B7BBE"/>
    <w:rsid w:val="627301E8"/>
    <w:rsid w:val="627369C7"/>
    <w:rsid w:val="62920187"/>
    <w:rsid w:val="6295194F"/>
    <w:rsid w:val="6299295E"/>
    <w:rsid w:val="629A07BC"/>
    <w:rsid w:val="629D61D1"/>
    <w:rsid w:val="62A33CA7"/>
    <w:rsid w:val="62A36C5E"/>
    <w:rsid w:val="62A60127"/>
    <w:rsid w:val="62AA5017"/>
    <w:rsid w:val="62B754A9"/>
    <w:rsid w:val="62B94634"/>
    <w:rsid w:val="62BA3B2B"/>
    <w:rsid w:val="62BC6091"/>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61F25"/>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11E2A"/>
    <w:rsid w:val="637346BC"/>
    <w:rsid w:val="637D75E6"/>
    <w:rsid w:val="63821D61"/>
    <w:rsid w:val="638266CE"/>
    <w:rsid w:val="63827E36"/>
    <w:rsid w:val="63842477"/>
    <w:rsid w:val="638823F9"/>
    <w:rsid w:val="63891BA5"/>
    <w:rsid w:val="638B04D2"/>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D866E8"/>
    <w:rsid w:val="63E263F4"/>
    <w:rsid w:val="63E418C9"/>
    <w:rsid w:val="63F41DB1"/>
    <w:rsid w:val="63F518A5"/>
    <w:rsid w:val="63F55755"/>
    <w:rsid w:val="63FB6EC6"/>
    <w:rsid w:val="63FD7654"/>
    <w:rsid w:val="640A7217"/>
    <w:rsid w:val="640C2BB6"/>
    <w:rsid w:val="6411454E"/>
    <w:rsid w:val="64225C1C"/>
    <w:rsid w:val="642437E9"/>
    <w:rsid w:val="64312225"/>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6E6AA9"/>
    <w:rsid w:val="64706C6F"/>
    <w:rsid w:val="6471159B"/>
    <w:rsid w:val="64790347"/>
    <w:rsid w:val="64814078"/>
    <w:rsid w:val="648B777B"/>
    <w:rsid w:val="649079E0"/>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3E7C"/>
    <w:rsid w:val="64E5543E"/>
    <w:rsid w:val="64E76F6D"/>
    <w:rsid w:val="64EA4517"/>
    <w:rsid w:val="64FC561C"/>
    <w:rsid w:val="64FC687A"/>
    <w:rsid w:val="64FE0E31"/>
    <w:rsid w:val="650F5743"/>
    <w:rsid w:val="65114C6A"/>
    <w:rsid w:val="65181463"/>
    <w:rsid w:val="651A5C6A"/>
    <w:rsid w:val="651C38DB"/>
    <w:rsid w:val="65201F4F"/>
    <w:rsid w:val="65204394"/>
    <w:rsid w:val="652133D2"/>
    <w:rsid w:val="6522790C"/>
    <w:rsid w:val="652A11D7"/>
    <w:rsid w:val="652C76EF"/>
    <w:rsid w:val="652D6A57"/>
    <w:rsid w:val="653004DD"/>
    <w:rsid w:val="653B41A7"/>
    <w:rsid w:val="653E78B1"/>
    <w:rsid w:val="65403733"/>
    <w:rsid w:val="654066D8"/>
    <w:rsid w:val="65411D7B"/>
    <w:rsid w:val="65427957"/>
    <w:rsid w:val="65430291"/>
    <w:rsid w:val="654468BF"/>
    <w:rsid w:val="654533F2"/>
    <w:rsid w:val="65485D1B"/>
    <w:rsid w:val="654D64C6"/>
    <w:rsid w:val="65503BB9"/>
    <w:rsid w:val="655754CB"/>
    <w:rsid w:val="655E2D72"/>
    <w:rsid w:val="656171FC"/>
    <w:rsid w:val="65635CAF"/>
    <w:rsid w:val="65636611"/>
    <w:rsid w:val="656D3445"/>
    <w:rsid w:val="656E4951"/>
    <w:rsid w:val="656F1A01"/>
    <w:rsid w:val="6570700F"/>
    <w:rsid w:val="6574303E"/>
    <w:rsid w:val="65755F0A"/>
    <w:rsid w:val="657F0CE6"/>
    <w:rsid w:val="65833C4F"/>
    <w:rsid w:val="65895087"/>
    <w:rsid w:val="658B37B6"/>
    <w:rsid w:val="6590595E"/>
    <w:rsid w:val="65920C43"/>
    <w:rsid w:val="65925A4D"/>
    <w:rsid w:val="65955D9F"/>
    <w:rsid w:val="65956477"/>
    <w:rsid w:val="65972789"/>
    <w:rsid w:val="659C17EE"/>
    <w:rsid w:val="65A65E7D"/>
    <w:rsid w:val="65AA2B3B"/>
    <w:rsid w:val="65B408AD"/>
    <w:rsid w:val="65B857C8"/>
    <w:rsid w:val="65BC6E17"/>
    <w:rsid w:val="65BD3777"/>
    <w:rsid w:val="65BE5ECC"/>
    <w:rsid w:val="65C41A82"/>
    <w:rsid w:val="65CE3D15"/>
    <w:rsid w:val="65D43869"/>
    <w:rsid w:val="65D64BB3"/>
    <w:rsid w:val="65D70270"/>
    <w:rsid w:val="65E91B08"/>
    <w:rsid w:val="65F17205"/>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5D4BDF"/>
    <w:rsid w:val="66631FDD"/>
    <w:rsid w:val="66634E10"/>
    <w:rsid w:val="66727620"/>
    <w:rsid w:val="66763EED"/>
    <w:rsid w:val="66782A0E"/>
    <w:rsid w:val="667930F9"/>
    <w:rsid w:val="6679372B"/>
    <w:rsid w:val="667B3C56"/>
    <w:rsid w:val="66822EA8"/>
    <w:rsid w:val="66881310"/>
    <w:rsid w:val="668B6CBD"/>
    <w:rsid w:val="669226DC"/>
    <w:rsid w:val="66953491"/>
    <w:rsid w:val="66980BF6"/>
    <w:rsid w:val="66A27600"/>
    <w:rsid w:val="66A56CDB"/>
    <w:rsid w:val="66AA497C"/>
    <w:rsid w:val="66AC1D02"/>
    <w:rsid w:val="66AD65FC"/>
    <w:rsid w:val="66AD7F89"/>
    <w:rsid w:val="66AE57BC"/>
    <w:rsid w:val="66B81454"/>
    <w:rsid w:val="66BE1292"/>
    <w:rsid w:val="66BF76F1"/>
    <w:rsid w:val="66C2321D"/>
    <w:rsid w:val="66C72F6F"/>
    <w:rsid w:val="66CD2666"/>
    <w:rsid w:val="66CD4873"/>
    <w:rsid w:val="66D553C4"/>
    <w:rsid w:val="66D560FD"/>
    <w:rsid w:val="66D60A0F"/>
    <w:rsid w:val="66D61A8D"/>
    <w:rsid w:val="66DA3497"/>
    <w:rsid w:val="66DB5E77"/>
    <w:rsid w:val="66DC5BF8"/>
    <w:rsid w:val="66DD13D0"/>
    <w:rsid w:val="66E173F9"/>
    <w:rsid w:val="66E3226C"/>
    <w:rsid w:val="66E611A7"/>
    <w:rsid w:val="66E80EB0"/>
    <w:rsid w:val="66EC5E36"/>
    <w:rsid w:val="66ED28A0"/>
    <w:rsid w:val="66F51818"/>
    <w:rsid w:val="66F569E1"/>
    <w:rsid w:val="66F76034"/>
    <w:rsid w:val="66FD7799"/>
    <w:rsid w:val="67066C06"/>
    <w:rsid w:val="670673B0"/>
    <w:rsid w:val="670E7B80"/>
    <w:rsid w:val="671043C8"/>
    <w:rsid w:val="6713591F"/>
    <w:rsid w:val="67157F47"/>
    <w:rsid w:val="67181932"/>
    <w:rsid w:val="6726232E"/>
    <w:rsid w:val="67277D2D"/>
    <w:rsid w:val="672A4901"/>
    <w:rsid w:val="672E50FE"/>
    <w:rsid w:val="67331724"/>
    <w:rsid w:val="6733491A"/>
    <w:rsid w:val="673360E2"/>
    <w:rsid w:val="67346319"/>
    <w:rsid w:val="673B1CC5"/>
    <w:rsid w:val="67424C6B"/>
    <w:rsid w:val="67441B08"/>
    <w:rsid w:val="67452434"/>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6550A"/>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33EF1"/>
    <w:rsid w:val="686455DF"/>
    <w:rsid w:val="68650339"/>
    <w:rsid w:val="68651915"/>
    <w:rsid w:val="68670AE1"/>
    <w:rsid w:val="68733F18"/>
    <w:rsid w:val="687442EE"/>
    <w:rsid w:val="68772A56"/>
    <w:rsid w:val="687C7996"/>
    <w:rsid w:val="687E1768"/>
    <w:rsid w:val="688F3898"/>
    <w:rsid w:val="689B3E14"/>
    <w:rsid w:val="689B7663"/>
    <w:rsid w:val="689C5C1D"/>
    <w:rsid w:val="689D6F4C"/>
    <w:rsid w:val="689F2FA0"/>
    <w:rsid w:val="689F3EC0"/>
    <w:rsid w:val="68A02CE9"/>
    <w:rsid w:val="68A036C8"/>
    <w:rsid w:val="68A41350"/>
    <w:rsid w:val="68AD26AA"/>
    <w:rsid w:val="68AE2B22"/>
    <w:rsid w:val="68B54464"/>
    <w:rsid w:val="68B72DE1"/>
    <w:rsid w:val="68BC14B0"/>
    <w:rsid w:val="68BC512A"/>
    <w:rsid w:val="68BF0078"/>
    <w:rsid w:val="68C04067"/>
    <w:rsid w:val="68C20D16"/>
    <w:rsid w:val="68CA4525"/>
    <w:rsid w:val="68D05B46"/>
    <w:rsid w:val="68D11D83"/>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00C09"/>
    <w:rsid w:val="69215315"/>
    <w:rsid w:val="692B3BF3"/>
    <w:rsid w:val="692F1256"/>
    <w:rsid w:val="69301A1D"/>
    <w:rsid w:val="6934218F"/>
    <w:rsid w:val="693755A6"/>
    <w:rsid w:val="693C5AA5"/>
    <w:rsid w:val="693D00F1"/>
    <w:rsid w:val="693E13B7"/>
    <w:rsid w:val="69421566"/>
    <w:rsid w:val="69430240"/>
    <w:rsid w:val="694A6D5C"/>
    <w:rsid w:val="694C7D2C"/>
    <w:rsid w:val="694E1FE7"/>
    <w:rsid w:val="695048C2"/>
    <w:rsid w:val="6951205B"/>
    <w:rsid w:val="6953741D"/>
    <w:rsid w:val="69552B47"/>
    <w:rsid w:val="6956014F"/>
    <w:rsid w:val="69680FFD"/>
    <w:rsid w:val="696977F9"/>
    <w:rsid w:val="696F3842"/>
    <w:rsid w:val="69731101"/>
    <w:rsid w:val="6974083C"/>
    <w:rsid w:val="697D087B"/>
    <w:rsid w:val="697E7979"/>
    <w:rsid w:val="69807B1E"/>
    <w:rsid w:val="698D012C"/>
    <w:rsid w:val="699763FB"/>
    <w:rsid w:val="69992E3D"/>
    <w:rsid w:val="699A7E83"/>
    <w:rsid w:val="69A407D7"/>
    <w:rsid w:val="69A71B52"/>
    <w:rsid w:val="69A7770D"/>
    <w:rsid w:val="69A966F8"/>
    <w:rsid w:val="69AC0B64"/>
    <w:rsid w:val="69B27491"/>
    <w:rsid w:val="69B27C94"/>
    <w:rsid w:val="69BA2288"/>
    <w:rsid w:val="69BA3FF5"/>
    <w:rsid w:val="69BB7CE2"/>
    <w:rsid w:val="69BE1292"/>
    <w:rsid w:val="69BF343C"/>
    <w:rsid w:val="69D06C15"/>
    <w:rsid w:val="69D2134C"/>
    <w:rsid w:val="69D537ED"/>
    <w:rsid w:val="69DC3AC1"/>
    <w:rsid w:val="69E6402E"/>
    <w:rsid w:val="69E673F8"/>
    <w:rsid w:val="69EA6C64"/>
    <w:rsid w:val="69EB2120"/>
    <w:rsid w:val="69EF1603"/>
    <w:rsid w:val="69EF180F"/>
    <w:rsid w:val="69F00B35"/>
    <w:rsid w:val="69F01B09"/>
    <w:rsid w:val="69F03B82"/>
    <w:rsid w:val="69F10C55"/>
    <w:rsid w:val="69F224F8"/>
    <w:rsid w:val="69F3045E"/>
    <w:rsid w:val="69F3790F"/>
    <w:rsid w:val="69F74CB3"/>
    <w:rsid w:val="69FE4F39"/>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D1DC1"/>
    <w:rsid w:val="6A3F4FDB"/>
    <w:rsid w:val="6A4F4F6F"/>
    <w:rsid w:val="6A507681"/>
    <w:rsid w:val="6A532FF6"/>
    <w:rsid w:val="6A601C8F"/>
    <w:rsid w:val="6A6978B6"/>
    <w:rsid w:val="6A6A0FDF"/>
    <w:rsid w:val="6A7136BA"/>
    <w:rsid w:val="6A7174A5"/>
    <w:rsid w:val="6A72508F"/>
    <w:rsid w:val="6A732254"/>
    <w:rsid w:val="6A774894"/>
    <w:rsid w:val="6A7B0358"/>
    <w:rsid w:val="6A7C4E7D"/>
    <w:rsid w:val="6A7E274B"/>
    <w:rsid w:val="6A800FE2"/>
    <w:rsid w:val="6A80364F"/>
    <w:rsid w:val="6A89112C"/>
    <w:rsid w:val="6A8C3EFF"/>
    <w:rsid w:val="6A905626"/>
    <w:rsid w:val="6A916EED"/>
    <w:rsid w:val="6A924A42"/>
    <w:rsid w:val="6A9371B0"/>
    <w:rsid w:val="6A937D23"/>
    <w:rsid w:val="6A960003"/>
    <w:rsid w:val="6A9B5915"/>
    <w:rsid w:val="6A9B7735"/>
    <w:rsid w:val="6AA02774"/>
    <w:rsid w:val="6AA258AD"/>
    <w:rsid w:val="6AA41157"/>
    <w:rsid w:val="6AAB2AD1"/>
    <w:rsid w:val="6AAE5F36"/>
    <w:rsid w:val="6AAF2259"/>
    <w:rsid w:val="6AB45A03"/>
    <w:rsid w:val="6ABE4FFD"/>
    <w:rsid w:val="6AC16878"/>
    <w:rsid w:val="6ACC352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1E73C6"/>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8E3E5A"/>
    <w:rsid w:val="6B95396B"/>
    <w:rsid w:val="6B9A256C"/>
    <w:rsid w:val="6BA90BA5"/>
    <w:rsid w:val="6BAA2D23"/>
    <w:rsid w:val="6BAC0EF7"/>
    <w:rsid w:val="6BAF67DE"/>
    <w:rsid w:val="6BB90470"/>
    <w:rsid w:val="6BBB00B1"/>
    <w:rsid w:val="6BBD3E9D"/>
    <w:rsid w:val="6BC03721"/>
    <w:rsid w:val="6BC43438"/>
    <w:rsid w:val="6BC51A97"/>
    <w:rsid w:val="6BCC01D5"/>
    <w:rsid w:val="6BCF2DCA"/>
    <w:rsid w:val="6BD52E14"/>
    <w:rsid w:val="6BDD0493"/>
    <w:rsid w:val="6BDE54AC"/>
    <w:rsid w:val="6BE068F6"/>
    <w:rsid w:val="6BE072B5"/>
    <w:rsid w:val="6BE2704C"/>
    <w:rsid w:val="6BE40FB6"/>
    <w:rsid w:val="6BE74894"/>
    <w:rsid w:val="6BEA30F0"/>
    <w:rsid w:val="6BEA5C11"/>
    <w:rsid w:val="6BEC52EB"/>
    <w:rsid w:val="6BEE02A6"/>
    <w:rsid w:val="6BEE5C0E"/>
    <w:rsid w:val="6BF121F9"/>
    <w:rsid w:val="6BF229CE"/>
    <w:rsid w:val="6BF25C39"/>
    <w:rsid w:val="6C0504CD"/>
    <w:rsid w:val="6C06150E"/>
    <w:rsid w:val="6C1407B4"/>
    <w:rsid w:val="6C150C0B"/>
    <w:rsid w:val="6C155F31"/>
    <w:rsid w:val="6C1B1A70"/>
    <w:rsid w:val="6C206E21"/>
    <w:rsid w:val="6C263A06"/>
    <w:rsid w:val="6C265F77"/>
    <w:rsid w:val="6C2830F3"/>
    <w:rsid w:val="6C3A624E"/>
    <w:rsid w:val="6C3F4795"/>
    <w:rsid w:val="6C416227"/>
    <w:rsid w:val="6C431738"/>
    <w:rsid w:val="6C442E2D"/>
    <w:rsid w:val="6C4B106D"/>
    <w:rsid w:val="6C505966"/>
    <w:rsid w:val="6C5D04BB"/>
    <w:rsid w:val="6C615234"/>
    <w:rsid w:val="6C65329A"/>
    <w:rsid w:val="6C666C3C"/>
    <w:rsid w:val="6C682001"/>
    <w:rsid w:val="6C6833E1"/>
    <w:rsid w:val="6C726F5A"/>
    <w:rsid w:val="6C751A38"/>
    <w:rsid w:val="6C7707E9"/>
    <w:rsid w:val="6C882F2E"/>
    <w:rsid w:val="6C8E4315"/>
    <w:rsid w:val="6C9360FF"/>
    <w:rsid w:val="6C95615F"/>
    <w:rsid w:val="6CA94419"/>
    <w:rsid w:val="6CB10D5A"/>
    <w:rsid w:val="6CB242A2"/>
    <w:rsid w:val="6CB92EE5"/>
    <w:rsid w:val="6CBB719C"/>
    <w:rsid w:val="6CC52015"/>
    <w:rsid w:val="6CC818AD"/>
    <w:rsid w:val="6CD944B7"/>
    <w:rsid w:val="6CE0612A"/>
    <w:rsid w:val="6CE269D3"/>
    <w:rsid w:val="6CEC448A"/>
    <w:rsid w:val="6CED284E"/>
    <w:rsid w:val="6CED3DB2"/>
    <w:rsid w:val="6CF04EB7"/>
    <w:rsid w:val="6CF17872"/>
    <w:rsid w:val="6CF440E8"/>
    <w:rsid w:val="6CF76712"/>
    <w:rsid w:val="6CFD23D1"/>
    <w:rsid w:val="6D033EFD"/>
    <w:rsid w:val="6D0652BF"/>
    <w:rsid w:val="6D0A7734"/>
    <w:rsid w:val="6D0B0E35"/>
    <w:rsid w:val="6D0D6D19"/>
    <w:rsid w:val="6D0D75B0"/>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21CE7"/>
    <w:rsid w:val="6D652ED0"/>
    <w:rsid w:val="6D662717"/>
    <w:rsid w:val="6D663299"/>
    <w:rsid w:val="6D6D261E"/>
    <w:rsid w:val="6D770FC8"/>
    <w:rsid w:val="6D790A31"/>
    <w:rsid w:val="6D7B79BF"/>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CB4A6A"/>
    <w:rsid w:val="6DDF0294"/>
    <w:rsid w:val="6DE9618F"/>
    <w:rsid w:val="6DED02CD"/>
    <w:rsid w:val="6DF07F1A"/>
    <w:rsid w:val="6DF4685D"/>
    <w:rsid w:val="6DF6740D"/>
    <w:rsid w:val="6DF92BCB"/>
    <w:rsid w:val="6DFB06CC"/>
    <w:rsid w:val="6E035B81"/>
    <w:rsid w:val="6E035FFE"/>
    <w:rsid w:val="6E0C755F"/>
    <w:rsid w:val="6E0F0D37"/>
    <w:rsid w:val="6E0F320E"/>
    <w:rsid w:val="6E1058C0"/>
    <w:rsid w:val="6E112785"/>
    <w:rsid w:val="6E114B44"/>
    <w:rsid w:val="6E131686"/>
    <w:rsid w:val="6E163C98"/>
    <w:rsid w:val="6E1B4CD0"/>
    <w:rsid w:val="6E1C2489"/>
    <w:rsid w:val="6E1D776A"/>
    <w:rsid w:val="6E1F57B8"/>
    <w:rsid w:val="6E225993"/>
    <w:rsid w:val="6E2A0DD8"/>
    <w:rsid w:val="6E2F362F"/>
    <w:rsid w:val="6E3552B0"/>
    <w:rsid w:val="6E35742E"/>
    <w:rsid w:val="6E376A3A"/>
    <w:rsid w:val="6E3C2B6A"/>
    <w:rsid w:val="6E3E181B"/>
    <w:rsid w:val="6E3F1C0F"/>
    <w:rsid w:val="6E484191"/>
    <w:rsid w:val="6E4E018F"/>
    <w:rsid w:val="6E4E0EC4"/>
    <w:rsid w:val="6E561494"/>
    <w:rsid w:val="6E567CD0"/>
    <w:rsid w:val="6E5C099F"/>
    <w:rsid w:val="6E606342"/>
    <w:rsid w:val="6E633CB5"/>
    <w:rsid w:val="6E651C83"/>
    <w:rsid w:val="6E7106EF"/>
    <w:rsid w:val="6E72203E"/>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B5767"/>
    <w:rsid w:val="6F5E3CAA"/>
    <w:rsid w:val="6F600A38"/>
    <w:rsid w:val="6F607895"/>
    <w:rsid w:val="6F61040C"/>
    <w:rsid w:val="6F6205EA"/>
    <w:rsid w:val="6F6776E1"/>
    <w:rsid w:val="6F702CF5"/>
    <w:rsid w:val="6F714EFF"/>
    <w:rsid w:val="6F797787"/>
    <w:rsid w:val="6F7A0C79"/>
    <w:rsid w:val="6F7E1B78"/>
    <w:rsid w:val="6F8D6927"/>
    <w:rsid w:val="6F8D7897"/>
    <w:rsid w:val="6F9A4660"/>
    <w:rsid w:val="6F9C5D71"/>
    <w:rsid w:val="6FA3781E"/>
    <w:rsid w:val="6FA9586A"/>
    <w:rsid w:val="6FAC61CF"/>
    <w:rsid w:val="6FAD768A"/>
    <w:rsid w:val="6FAF5C06"/>
    <w:rsid w:val="6FB32C37"/>
    <w:rsid w:val="6FB415FB"/>
    <w:rsid w:val="6FB51E4A"/>
    <w:rsid w:val="6FB7425E"/>
    <w:rsid w:val="6FB80EE8"/>
    <w:rsid w:val="6FBC1804"/>
    <w:rsid w:val="6FC0781E"/>
    <w:rsid w:val="6FD23B05"/>
    <w:rsid w:val="6FD36624"/>
    <w:rsid w:val="6FD86BFB"/>
    <w:rsid w:val="6FDC6A2D"/>
    <w:rsid w:val="6FE53444"/>
    <w:rsid w:val="6FE76FE3"/>
    <w:rsid w:val="6FEE1369"/>
    <w:rsid w:val="6FF1528E"/>
    <w:rsid w:val="6FF561D1"/>
    <w:rsid w:val="6FFE46CD"/>
    <w:rsid w:val="6FFF10F4"/>
    <w:rsid w:val="700477C8"/>
    <w:rsid w:val="70065F3C"/>
    <w:rsid w:val="700C0460"/>
    <w:rsid w:val="70126C05"/>
    <w:rsid w:val="701458A7"/>
    <w:rsid w:val="70146689"/>
    <w:rsid w:val="70152C7C"/>
    <w:rsid w:val="70170F2B"/>
    <w:rsid w:val="701830B7"/>
    <w:rsid w:val="701C3A0F"/>
    <w:rsid w:val="701E2FAB"/>
    <w:rsid w:val="70206203"/>
    <w:rsid w:val="70206C25"/>
    <w:rsid w:val="702267D2"/>
    <w:rsid w:val="70291A05"/>
    <w:rsid w:val="70326141"/>
    <w:rsid w:val="70343726"/>
    <w:rsid w:val="70370653"/>
    <w:rsid w:val="70385F59"/>
    <w:rsid w:val="70387A8F"/>
    <w:rsid w:val="70494AF1"/>
    <w:rsid w:val="704A6916"/>
    <w:rsid w:val="7054528E"/>
    <w:rsid w:val="70555B90"/>
    <w:rsid w:val="705B2B64"/>
    <w:rsid w:val="705E76BE"/>
    <w:rsid w:val="70626FA0"/>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06FA7"/>
    <w:rsid w:val="70D91094"/>
    <w:rsid w:val="70DB76EF"/>
    <w:rsid w:val="70DB7ADF"/>
    <w:rsid w:val="70E03094"/>
    <w:rsid w:val="70E47264"/>
    <w:rsid w:val="70F04773"/>
    <w:rsid w:val="70F147D7"/>
    <w:rsid w:val="70F71533"/>
    <w:rsid w:val="71017D80"/>
    <w:rsid w:val="710271DF"/>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566A"/>
    <w:rsid w:val="71636BC2"/>
    <w:rsid w:val="71676D13"/>
    <w:rsid w:val="716A160C"/>
    <w:rsid w:val="716B5F96"/>
    <w:rsid w:val="716C65C5"/>
    <w:rsid w:val="716D67F7"/>
    <w:rsid w:val="716E08C5"/>
    <w:rsid w:val="71747EDF"/>
    <w:rsid w:val="7183292B"/>
    <w:rsid w:val="71890883"/>
    <w:rsid w:val="718B3A9F"/>
    <w:rsid w:val="718D7607"/>
    <w:rsid w:val="71936186"/>
    <w:rsid w:val="71A535F8"/>
    <w:rsid w:val="71A5684D"/>
    <w:rsid w:val="71A63D75"/>
    <w:rsid w:val="71AE2BD5"/>
    <w:rsid w:val="71AF2F66"/>
    <w:rsid w:val="71B06996"/>
    <w:rsid w:val="71B0735B"/>
    <w:rsid w:val="71B31BCF"/>
    <w:rsid w:val="71B40CF8"/>
    <w:rsid w:val="71B70BD6"/>
    <w:rsid w:val="71BA3B1E"/>
    <w:rsid w:val="71C061A0"/>
    <w:rsid w:val="71C2301C"/>
    <w:rsid w:val="71C45E90"/>
    <w:rsid w:val="71C96C07"/>
    <w:rsid w:val="71CA2E75"/>
    <w:rsid w:val="71CD28DD"/>
    <w:rsid w:val="71CE06DE"/>
    <w:rsid w:val="71D00811"/>
    <w:rsid w:val="71D51AD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1FF2034"/>
    <w:rsid w:val="720319CB"/>
    <w:rsid w:val="72056436"/>
    <w:rsid w:val="720979A0"/>
    <w:rsid w:val="720F633E"/>
    <w:rsid w:val="72103F0B"/>
    <w:rsid w:val="72130B93"/>
    <w:rsid w:val="721C688B"/>
    <w:rsid w:val="72200AF0"/>
    <w:rsid w:val="72263920"/>
    <w:rsid w:val="722E7DFE"/>
    <w:rsid w:val="722F3B4B"/>
    <w:rsid w:val="723032E3"/>
    <w:rsid w:val="7235246C"/>
    <w:rsid w:val="723749D7"/>
    <w:rsid w:val="723908BB"/>
    <w:rsid w:val="724219E5"/>
    <w:rsid w:val="724A1C04"/>
    <w:rsid w:val="724D4B1D"/>
    <w:rsid w:val="724E54F1"/>
    <w:rsid w:val="7254202A"/>
    <w:rsid w:val="725D29D6"/>
    <w:rsid w:val="725E4102"/>
    <w:rsid w:val="726248F8"/>
    <w:rsid w:val="72632A3F"/>
    <w:rsid w:val="727334E4"/>
    <w:rsid w:val="72756082"/>
    <w:rsid w:val="72772DDB"/>
    <w:rsid w:val="72780225"/>
    <w:rsid w:val="72796D22"/>
    <w:rsid w:val="727B2E39"/>
    <w:rsid w:val="727D44BE"/>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DC3AFD"/>
    <w:rsid w:val="72E70D52"/>
    <w:rsid w:val="72EA6B66"/>
    <w:rsid w:val="72F17162"/>
    <w:rsid w:val="72F32F32"/>
    <w:rsid w:val="72F85FEB"/>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5E370F"/>
    <w:rsid w:val="736411CC"/>
    <w:rsid w:val="736831FB"/>
    <w:rsid w:val="7368410A"/>
    <w:rsid w:val="73690216"/>
    <w:rsid w:val="736A02D8"/>
    <w:rsid w:val="736C1945"/>
    <w:rsid w:val="736E46F1"/>
    <w:rsid w:val="73814AA3"/>
    <w:rsid w:val="73825D4D"/>
    <w:rsid w:val="738744DD"/>
    <w:rsid w:val="73893467"/>
    <w:rsid w:val="738A36E1"/>
    <w:rsid w:val="73912A81"/>
    <w:rsid w:val="73970334"/>
    <w:rsid w:val="739B1EFF"/>
    <w:rsid w:val="73A16D22"/>
    <w:rsid w:val="73A338C6"/>
    <w:rsid w:val="73B001E3"/>
    <w:rsid w:val="73B04FEC"/>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6A0"/>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671EE"/>
    <w:rsid w:val="74775754"/>
    <w:rsid w:val="74782A8C"/>
    <w:rsid w:val="74786AE2"/>
    <w:rsid w:val="747C7F5F"/>
    <w:rsid w:val="747F0E23"/>
    <w:rsid w:val="74964674"/>
    <w:rsid w:val="749D5800"/>
    <w:rsid w:val="74A63A12"/>
    <w:rsid w:val="74A73312"/>
    <w:rsid w:val="74A739B2"/>
    <w:rsid w:val="74B06962"/>
    <w:rsid w:val="74B32215"/>
    <w:rsid w:val="74B56C06"/>
    <w:rsid w:val="74B57E10"/>
    <w:rsid w:val="74BC7516"/>
    <w:rsid w:val="74C0607C"/>
    <w:rsid w:val="74C072AF"/>
    <w:rsid w:val="74C46840"/>
    <w:rsid w:val="74D575AA"/>
    <w:rsid w:val="74D71DDE"/>
    <w:rsid w:val="74D95703"/>
    <w:rsid w:val="74DA7956"/>
    <w:rsid w:val="74E11F86"/>
    <w:rsid w:val="74EC4B62"/>
    <w:rsid w:val="74FB509B"/>
    <w:rsid w:val="74FB6035"/>
    <w:rsid w:val="74FF07F1"/>
    <w:rsid w:val="7502618E"/>
    <w:rsid w:val="7507587E"/>
    <w:rsid w:val="750934A8"/>
    <w:rsid w:val="750A15E4"/>
    <w:rsid w:val="750C76FA"/>
    <w:rsid w:val="751956F6"/>
    <w:rsid w:val="751E0BB4"/>
    <w:rsid w:val="751E29FC"/>
    <w:rsid w:val="752B3381"/>
    <w:rsid w:val="75325694"/>
    <w:rsid w:val="7534402F"/>
    <w:rsid w:val="75376E15"/>
    <w:rsid w:val="753B454F"/>
    <w:rsid w:val="753D6B7D"/>
    <w:rsid w:val="75441B17"/>
    <w:rsid w:val="75457EFF"/>
    <w:rsid w:val="754E2D0D"/>
    <w:rsid w:val="7554481F"/>
    <w:rsid w:val="75594581"/>
    <w:rsid w:val="755A35FA"/>
    <w:rsid w:val="755A5494"/>
    <w:rsid w:val="75625A16"/>
    <w:rsid w:val="7564200E"/>
    <w:rsid w:val="75663FD1"/>
    <w:rsid w:val="75677137"/>
    <w:rsid w:val="75696461"/>
    <w:rsid w:val="756F19B6"/>
    <w:rsid w:val="75700B25"/>
    <w:rsid w:val="757540E3"/>
    <w:rsid w:val="757D2DDE"/>
    <w:rsid w:val="75825591"/>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267CF"/>
    <w:rsid w:val="75F75D00"/>
    <w:rsid w:val="75F8074C"/>
    <w:rsid w:val="75FA729D"/>
    <w:rsid w:val="7600209C"/>
    <w:rsid w:val="760049B0"/>
    <w:rsid w:val="760200DC"/>
    <w:rsid w:val="760218FE"/>
    <w:rsid w:val="76070A73"/>
    <w:rsid w:val="761014A5"/>
    <w:rsid w:val="76101CE0"/>
    <w:rsid w:val="761F61D8"/>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C3ABF"/>
    <w:rsid w:val="765F0FBA"/>
    <w:rsid w:val="766102B4"/>
    <w:rsid w:val="766314AA"/>
    <w:rsid w:val="76671958"/>
    <w:rsid w:val="76674D6A"/>
    <w:rsid w:val="76680C86"/>
    <w:rsid w:val="76690632"/>
    <w:rsid w:val="766E0B9F"/>
    <w:rsid w:val="767469E2"/>
    <w:rsid w:val="76775F0B"/>
    <w:rsid w:val="767E2DAC"/>
    <w:rsid w:val="76894819"/>
    <w:rsid w:val="768C5C8C"/>
    <w:rsid w:val="768D57E3"/>
    <w:rsid w:val="768F7736"/>
    <w:rsid w:val="76932317"/>
    <w:rsid w:val="769609ED"/>
    <w:rsid w:val="769D3681"/>
    <w:rsid w:val="76A10D30"/>
    <w:rsid w:val="76A53B61"/>
    <w:rsid w:val="76A56649"/>
    <w:rsid w:val="76A56898"/>
    <w:rsid w:val="76A652D8"/>
    <w:rsid w:val="76A81E8A"/>
    <w:rsid w:val="76AF378A"/>
    <w:rsid w:val="76B153BA"/>
    <w:rsid w:val="76BE7B18"/>
    <w:rsid w:val="76BF40F9"/>
    <w:rsid w:val="76C515AB"/>
    <w:rsid w:val="76C72CA0"/>
    <w:rsid w:val="76D02C26"/>
    <w:rsid w:val="76D6154F"/>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226B65"/>
    <w:rsid w:val="7725730C"/>
    <w:rsid w:val="77284F7D"/>
    <w:rsid w:val="77295485"/>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EF5AEB"/>
    <w:rsid w:val="77F62755"/>
    <w:rsid w:val="77F62779"/>
    <w:rsid w:val="77F92249"/>
    <w:rsid w:val="78036043"/>
    <w:rsid w:val="780C7C0B"/>
    <w:rsid w:val="780F6CAF"/>
    <w:rsid w:val="780F6F82"/>
    <w:rsid w:val="781164D0"/>
    <w:rsid w:val="7813374F"/>
    <w:rsid w:val="78142035"/>
    <w:rsid w:val="781838FF"/>
    <w:rsid w:val="781A21DD"/>
    <w:rsid w:val="781B3886"/>
    <w:rsid w:val="782466AD"/>
    <w:rsid w:val="782A738E"/>
    <w:rsid w:val="782B0B7A"/>
    <w:rsid w:val="782B66B8"/>
    <w:rsid w:val="782B6927"/>
    <w:rsid w:val="78306028"/>
    <w:rsid w:val="78316382"/>
    <w:rsid w:val="783354A3"/>
    <w:rsid w:val="78355626"/>
    <w:rsid w:val="783643C3"/>
    <w:rsid w:val="78375EBD"/>
    <w:rsid w:val="783A01F4"/>
    <w:rsid w:val="784151EC"/>
    <w:rsid w:val="784563AF"/>
    <w:rsid w:val="78480067"/>
    <w:rsid w:val="7849196F"/>
    <w:rsid w:val="78576391"/>
    <w:rsid w:val="78591903"/>
    <w:rsid w:val="785B65FF"/>
    <w:rsid w:val="785D1993"/>
    <w:rsid w:val="785E356A"/>
    <w:rsid w:val="78620E7C"/>
    <w:rsid w:val="787659AD"/>
    <w:rsid w:val="788446BE"/>
    <w:rsid w:val="78862765"/>
    <w:rsid w:val="7888219B"/>
    <w:rsid w:val="78883E95"/>
    <w:rsid w:val="78887070"/>
    <w:rsid w:val="788908C8"/>
    <w:rsid w:val="788F7525"/>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043AB"/>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C5BD6"/>
    <w:rsid w:val="796E35F2"/>
    <w:rsid w:val="7971290E"/>
    <w:rsid w:val="79756908"/>
    <w:rsid w:val="79762768"/>
    <w:rsid w:val="797951A9"/>
    <w:rsid w:val="797C0892"/>
    <w:rsid w:val="797E25BF"/>
    <w:rsid w:val="79832F0A"/>
    <w:rsid w:val="798C57FA"/>
    <w:rsid w:val="798E4989"/>
    <w:rsid w:val="7990174F"/>
    <w:rsid w:val="799537B4"/>
    <w:rsid w:val="799A4E91"/>
    <w:rsid w:val="79A02BCA"/>
    <w:rsid w:val="79A15149"/>
    <w:rsid w:val="79A37CCA"/>
    <w:rsid w:val="79A71C2E"/>
    <w:rsid w:val="79A74BCA"/>
    <w:rsid w:val="79A75AAF"/>
    <w:rsid w:val="79A955D4"/>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C7F5E"/>
    <w:rsid w:val="79ED6701"/>
    <w:rsid w:val="79EE7E8E"/>
    <w:rsid w:val="79F30A3A"/>
    <w:rsid w:val="79F934E7"/>
    <w:rsid w:val="79FB2D0B"/>
    <w:rsid w:val="7A027298"/>
    <w:rsid w:val="7A052E17"/>
    <w:rsid w:val="7A097B67"/>
    <w:rsid w:val="7A0A74CF"/>
    <w:rsid w:val="7A0F1525"/>
    <w:rsid w:val="7A10389D"/>
    <w:rsid w:val="7A157806"/>
    <w:rsid w:val="7A200921"/>
    <w:rsid w:val="7A234954"/>
    <w:rsid w:val="7A245751"/>
    <w:rsid w:val="7A262C2D"/>
    <w:rsid w:val="7A291938"/>
    <w:rsid w:val="7A2D67DE"/>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A16C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BF8"/>
    <w:rsid w:val="7ACD2D7F"/>
    <w:rsid w:val="7ACF2DEC"/>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57B32"/>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376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90444"/>
    <w:rsid w:val="7BBD1B11"/>
    <w:rsid w:val="7BBF3986"/>
    <w:rsid w:val="7BC17EBE"/>
    <w:rsid w:val="7BC212EB"/>
    <w:rsid w:val="7BC43666"/>
    <w:rsid w:val="7BC80CA2"/>
    <w:rsid w:val="7BC81295"/>
    <w:rsid w:val="7BC8293C"/>
    <w:rsid w:val="7BC87053"/>
    <w:rsid w:val="7BD01BA1"/>
    <w:rsid w:val="7BD13894"/>
    <w:rsid w:val="7BD64EE8"/>
    <w:rsid w:val="7BDC009C"/>
    <w:rsid w:val="7BDE0174"/>
    <w:rsid w:val="7BDF18E6"/>
    <w:rsid w:val="7BE131F6"/>
    <w:rsid w:val="7BEB6EA7"/>
    <w:rsid w:val="7BF11348"/>
    <w:rsid w:val="7BF542FE"/>
    <w:rsid w:val="7BF6412A"/>
    <w:rsid w:val="7BFF0642"/>
    <w:rsid w:val="7C025EFA"/>
    <w:rsid w:val="7C05243A"/>
    <w:rsid w:val="7C056E44"/>
    <w:rsid w:val="7C0E7D8C"/>
    <w:rsid w:val="7C190E27"/>
    <w:rsid w:val="7C1C7F68"/>
    <w:rsid w:val="7C206952"/>
    <w:rsid w:val="7C2D1C60"/>
    <w:rsid w:val="7C306953"/>
    <w:rsid w:val="7C3832F5"/>
    <w:rsid w:val="7C42281E"/>
    <w:rsid w:val="7C472DAB"/>
    <w:rsid w:val="7C550FEC"/>
    <w:rsid w:val="7C574C21"/>
    <w:rsid w:val="7C5F4D1F"/>
    <w:rsid w:val="7C610C91"/>
    <w:rsid w:val="7C613AEC"/>
    <w:rsid w:val="7C655448"/>
    <w:rsid w:val="7C691716"/>
    <w:rsid w:val="7C6B655B"/>
    <w:rsid w:val="7C6E7E2C"/>
    <w:rsid w:val="7C734075"/>
    <w:rsid w:val="7C7468D9"/>
    <w:rsid w:val="7C764182"/>
    <w:rsid w:val="7C773CA6"/>
    <w:rsid w:val="7C815D2A"/>
    <w:rsid w:val="7C831756"/>
    <w:rsid w:val="7C855E36"/>
    <w:rsid w:val="7C8C4CAB"/>
    <w:rsid w:val="7C903860"/>
    <w:rsid w:val="7C982736"/>
    <w:rsid w:val="7C9A2FA3"/>
    <w:rsid w:val="7C9E5A24"/>
    <w:rsid w:val="7CA3583F"/>
    <w:rsid w:val="7CA67728"/>
    <w:rsid w:val="7CB027DF"/>
    <w:rsid w:val="7CB12F9C"/>
    <w:rsid w:val="7CB2364E"/>
    <w:rsid w:val="7CB271E9"/>
    <w:rsid w:val="7CB62523"/>
    <w:rsid w:val="7CCA5583"/>
    <w:rsid w:val="7CCE6E72"/>
    <w:rsid w:val="7CCF1812"/>
    <w:rsid w:val="7CD72F9B"/>
    <w:rsid w:val="7CDB7866"/>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2F490E"/>
    <w:rsid w:val="7D3371FF"/>
    <w:rsid w:val="7D377B94"/>
    <w:rsid w:val="7D401CAA"/>
    <w:rsid w:val="7D4E195B"/>
    <w:rsid w:val="7D4F4ABB"/>
    <w:rsid w:val="7D515EFA"/>
    <w:rsid w:val="7D5431B0"/>
    <w:rsid w:val="7D5A5DBA"/>
    <w:rsid w:val="7D630A43"/>
    <w:rsid w:val="7D635C6D"/>
    <w:rsid w:val="7D64087E"/>
    <w:rsid w:val="7D642C85"/>
    <w:rsid w:val="7D69117D"/>
    <w:rsid w:val="7D696CB2"/>
    <w:rsid w:val="7D6F06CE"/>
    <w:rsid w:val="7D7A555A"/>
    <w:rsid w:val="7D7B252F"/>
    <w:rsid w:val="7D7F5298"/>
    <w:rsid w:val="7D8306B2"/>
    <w:rsid w:val="7D8362BA"/>
    <w:rsid w:val="7D8B7B11"/>
    <w:rsid w:val="7D932A05"/>
    <w:rsid w:val="7D9F0F7A"/>
    <w:rsid w:val="7DA843EE"/>
    <w:rsid w:val="7DA92C82"/>
    <w:rsid w:val="7DA948C4"/>
    <w:rsid w:val="7DAB10BD"/>
    <w:rsid w:val="7DAF4AB4"/>
    <w:rsid w:val="7DB53660"/>
    <w:rsid w:val="7DBB6EE5"/>
    <w:rsid w:val="7DBE609A"/>
    <w:rsid w:val="7DBF2E7A"/>
    <w:rsid w:val="7DC266E0"/>
    <w:rsid w:val="7DC4279D"/>
    <w:rsid w:val="7DCA054D"/>
    <w:rsid w:val="7DCC7A63"/>
    <w:rsid w:val="7DD7657D"/>
    <w:rsid w:val="7DDA6C39"/>
    <w:rsid w:val="7DE15552"/>
    <w:rsid w:val="7DE16744"/>
    <w:rsid w:val="7DE653AB"/>
    <w:rsid w:val="7DE71438"/>
    <w:rsid w:val="7DEA1D90"/>
    <w:rsid w:val="7DEB2C44"/>
    <w:rsid w:val="7DF464FC"/>
    <w:rsid w:val="7DFE63E1"/>
    <w:rsid w:val="7E006A11"/>
    <w:rsid w:val="7E043ED9"/>
    <w:rsid w:val="7E104623"/>
    <w:rsid w:val="7E19640C"/>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712F31"/>
    <w:rsid w:val="7E71642D"/>
    <w:rsid w:val="7E73403B"/>
    <w:rsid w:val="7E750E81"/>
    <w:rsid w:val="7E760C9A"/>
    <w:rsid w:val="7E761EFC"/>
    <w:rsid w:val="7E79060D"/>
    <w:rsid w:val="7E7E2B41"/>
    <w:rsid w:val="7E8D3E75"/>
    <w:rsid w:val="7E9044A6"/>
    <w:rsid w:val="7E922E52"/>
    <w:rsid w:val="7E9C0411"/>
    <w:rsid w:val="7EA10518"/>
    <w:rsid w:val="7EA37537"/>
    <w:rsid w:val="7EA65D10"/>
    <w:rsid w:val="7EA87297"/>
    <w:rsid w:val="7EAE1E9B"/>
    <w:rsid w:val="7EB56059"/>
    <w:rsid w:val="7EB73383"/>
    <w:rsid w:val="7EBD506F"/>
    <w:rsid w:val="7EC22792"/>
    <w:rsid w:val="7EC23404"/>
    <w:rsid w:val="7EC3055B"/>
    <w:rsid w:val="7EC57DB4"/>
    <w:rsid w:val="7ED4658C"/>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16D2A"/>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6A686B"/>
    <w:rsid w:val="7F775663"/>
    <w:rsid w:val="7F8403DB"/>
    <w:rsid w:val="7F8660CD"/>
    <w:rsid w:val="7F8A2E2C"/>
    <w:rsid w:val="7F963419"/>
    <w:rsid w:val="7F98528E"/>
    <w:rsid w:val="7F9A11C9"/>
    <w:rsid w:val="7FA069EC"/>
    <w:rsid w:val="7FAC155A"/>
    <w:rsid w:val="7FAE09CF"/>
    <w:rsid w:val="7FB351E6"/>
    <w:rsid w:val="7FB422D4"/>
    <w:rsid w:val="7FC55101"/>
    <w:rsid w:val="7FD277AE"/>
    <w:rsid w:val="7FDA2CD0"/>
    <w:rsid w:val="7FDB769F"/>
    <w:rsid w:val="7FDF50FB"/>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character" w:customStyle="1" w:styleId="107">
    <w:name w:val="列表段落 字符"/>
    <w:basedOn w:val="27"/>
    <w:link w:val="108"/>
    <w:qFormat/>
    <w:uiPriority w:val="0"/>
    <w:rPr>
      <w:rFonts w:hint="default" w:ascii="Calibri" w:hAnsi="Calibri" w:eastAsia="Calibri" w:cs="Arial"/>
      <w:sz w:val="22"/>
      <w:szCs w:val="22"/>
      <w:lang w:eastAsia="en-US"/>
    </w:rPr>
  </w:style>
  <w:style w:type="paragraph" w:customStyle="1" w:styleId="108">
    <w:name w:val="列表段落"/>
    <w:basedOn w:val="1"/>
    <w:link w:val="107"/>
    <w:qFormat/>
    <w:uiPriority w:val="0"/>
    <w:pPr>
      <w:keepNext w:val="0"/>
      <w:keepLines w:val="0"/>
      <w:widowControl/>
      <w:suppressLineNumbers w:val="0"/>
      <w:spacing w:before="0" w:beforeAutospacing="0" w:after="0" w:afterAutospacing="0" w:line="256" w:lineRule="auto"/>
      <w:ind w:left="720" w:right="0"/>
      <w:jc w:val="left"/>
    </w:pPr>
    <w:rPr>
      <w:rFonts w:hint="default" w:ascii="Calibri" w:hAnsi="Calibri" w:eastAsia="Calibri" w:cs="Arial"/>
      <w:kern w:val="0"/>
      <w:sz w:val="22"/>
      <w:szCs w:val="22"/>
      <w:lang w:val="en-US" w:eastAsia="zh-CN" w:bidi="ar"/>
    </w:rPr>
  </w:style>
  <w:style w:type="paragraph" w:customStyle="1" w:styleId="109">
    <w:name w:val="列表段落1"/>
    <w:basedOn w:val="1"/>
    <w:qFormat/>
    <w:uiPriority w:val="0"/>
    <w:pPr>
      <w:keepNext w:val="0"/>
      <w:keepLines w:val="0"/>
      <w:widowControl/>
      <w:suppressLineNumbers w:val="0"/>
      <w:spacing w:before="0" w:beforeAutospacing="0" w:after="0" w:afterAutospacing="0" w:line="256" w:lineRule="auto"/>
      <w:ind w:left="720" w:right="0"/>
      <w:jc w:val="left"/>
    </w:pPr>
    <w:rPr>
      <w:rFonts w:hint="default" w:ascii="Calibri" w:hAnsi="Calibri" w:eastAsia="Calibri" w:cs="Arial"/>
      <w:kern w:val="0"/>
      <w:sz w:val="22"/>
      <w:szCs w:val="22"/>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2024-10-07T11:43:14Z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